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320/2020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445/2020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0049.352138/2019-53</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Artigos Médicos Hospitalares </w:t>
      </w:r>
      <w:r w:rsidDel="00000000" w:rsidR="00000000" w:rsidRPr="00000000">
        <w:rPr>
          <w:rFonts w:ascii="Arial" w:cs="Arial" w:eastAsia="Arial" w:hAnsi="Arial"/>
          <w:b w:val="1"/>
          <w:sz w:val="16"/>
          <w:szCs w:val="16"/>
          <w:rtl w:val="0"/>
        </w:rPr>
        <w:t xml:space="preserve">sob sistema de consignação</w:t>
      </w:r>
      <w:r w:rsidDel="00000000" w:rsidR="00000000" w:rsidRPr="00000000">
        <w:rPr>
          <w:rFonts w:ascii="Arial" w:cs="Arial" w:eastAsia="Arial" w:hAnsi="Arial"/>
          <w:sz w:val="16"/>
          <w:szCs w:val="16"/>
          <w:rtl w:val="0"/>
        </w:rPr>
        <w:t xml:space="preserve">, com fornecimento de equipamento sob Sistema de Comodato,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Artigos Médicos Hospitalares </w:t>
      </w:r>
      <w:r w:rsidDel="00000000" w:rsidR="00000000" w:rsidRPr="00000000">
        <w:rPr>
          <w:rFonts w:ascii="Arial" w:cs="Arial" w:eastAsia="Arial" w:hAnsi="Arial"/>
          <w:b w:val="1"/>
          <w:sz w:val="16"/>
          <w:szCs w:val="16"/>
          <w:rtl w:val="0"/>
        </w:rPr>
        <w:t xml:space="preserve">sob sistema de consignação</w:t>
      </w:r>
      <w:r w:rsidDel="00000000" w:rsidR="00000000" w:rsidRPr="00000000">
        <w:rPr>
          <w:rFonts w:ascii="Arial" w:cs="Arial" w:eastAsia="Arial" w:hAnsi="Arial"/>
          <w:sz w:val="16"/>
          <w:szCs w:val="16"/>
          <w:rtl w:val="0"/>
        </w:rPr>
        <w:t xml:space="preserve">, com fornecimento de equipamento sob Sistema de Comodato,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As entregas serão parceladas na medida que forem sendo solicitadas pela Unidade, as quais deverão ser entregues </w:t>
      </w:r>
      <w:r w:rsidDel="00000000" w:rsidR="00000000" w:rsidRPr="00000000">
        <w:rPr>
          <w:rFonts w:ascii="Arial" w:cs="Arial" w:eastAsia="Arial" w:hAnsi="Arial"/>
          <w:b w:val="1"/>
          <w:sz w:val="16"/>
          <w:szCs w:val="16"/>
          <w:rtl w:val="0"/>
        </w:rPr>
        <w:t xml:space="preserve">no prazo máximo de 30(trinta) dias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 A entrega dos materiais deverá ser efetuada na Central de Abastecimento farmacêutico – CAF II: Rua: Aparício de Morais nº. 4378  Bairro - Setor Industrial, - Telefone: (69) 3216–5759 - Porto Velho, Rondônia. O expediente é de segunda a sexta </w:t>
      </w:r>
      <w:r w:rsidDel="00000000" w:rsidR="00000000" w:rsidRPr="00000000">
        <w:rPr>
          <w:rFonts w:ascii="Arial" w:cs="Arial" w:eastAsia="Arial" w:hAnsi="Arial"/>
          <w:b w:val="1"/>
          <w:sz w:val="16"/>
          <w:szCs w:val="16"/>
          <w:rtl w:val="0"/>
        </w:rPr>
        <w:t xml:space="preserve">das 7:30 as 13:30 horas.</w:t>
      </w:r>
      <w:r w:rsidDel="00000000" w:rsidR="00000000" w:rsidRPr="00000000">
        <w:rPr>
          <w:rtl w:val="0"/>
        </w:rPr>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6.4.1. Os dias de funcionamento são de segunda a sexta-feira, sendo de 07h30min as 17h30min.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Advertência, por escrito, sempre que forem constatadas falhas na execução dos serviços;</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conforme descrito na tabela 01, até o 30º (trigésimo) dia de atraso no cumprimento das obrigações;</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Multa de 10 % (dez por cento) do valor total contratado, a partir do 31º (trigésimo primeiro dia) de atraso, o que ensejará a rescisão contratual;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Suspensão temporária de participação em licitação e impedimento de contratar com a Administração por prazo não superior a 05 (cinco) anos, de acordo com o Decreto nº 10.024/19 e Lei Federal nº 10.520/2002 , art.7.</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Para efeito de aplicação de multas, às infrações são atribuídos graus, com percentuais de multa conforme a tabela a seguir (tabela 1):</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545"/>
        <w:gridCol w:w="1055"/>
        <w:gridCol w:w="1175"/>
        <w:tblGridChange w:id="0">
          <w:tblGrid>
            <w:gridCol w:w="980"/>
            <w:gridCol w:w="6545"/>
            <w:gridCol w:w="1055"/>
            <w:gridCol w:w="1175"/>
          </w:tblGrid>
        </w:tblGridChange>
      </w:tblGrid>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3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1</w:t>
            </w:r>
          </w:p>
        </w:tc>
      </w:tr>
      <w:tr>
        <w:trPr>
          <w:trHeight w:val="7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serviço determinado pela FISCALIZAÇÃO, sem motivo justificado;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de serviço ou substituição de material;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55"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01,6%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permanentes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00,2% por dia</w:t>
            </w:r>
          </w:p>
        </w:tc>
      </w:tr>
    </w:tbl>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Incidente sobre o valor mensal do contrato.</w:t>
      </w:r>
    </w:p>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Após 30 (trinta) dias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r w:rsidDel="00000000" w:rsidR="00000000" w:rsidRPr="00000000">
        <w:rPr>
          <w:rtl w:val="0"/>
        </w:rPr>
      </w:r>
    </w:p>
    <w:p w:rsidR="00000000" w:rsidDel="00000000" w:rsidP="00000000" w:rsidRDefault="00000000" w:rsidRPr="00000000" w14:paraId="0000007C">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w:t>
      </w:r>
      <w:r w:rsidDel="00000000" w:rsidR="00000000" w:rsidRPr="00000000">
        <w:rPr>
          <w:rFonts w:ascii="Arial" w:cs="Arial" w:eastAsia="Arial" w:hAnsi="Arial"/>
          <w:sz w:val="16"/>
          <w:szCs w:val="16"/>
          <w:rtl w:val="0"/>
        </w:rPr>
        <w:t xml:space="preserve">s</w:t>
      </w:r>
      <w:r w:rsidDel="00000000" w:rsidR="00000000" w:rsidRPr="00000000">
        <w:rPr>
          <w:rFonts w:ascii="Arial" w:cs="Arial" w:eastAsia="Arial" w:hAnsi="Arial"/>
          <w:color w:val="000000"/>
          <w:sz w:val="16"/>
          <w:szCs w:val="16"/>
          <w:rtl w:val="0"/>
        </w:rPr>
        <w:t xml:space="preserve">ou entidades municipais, distritais ou estaduais a adesão a ata de registro de preços da Administração Pública Estadual.</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A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7">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A">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YERNuybQRy2AMzrfsaLK2icsdg==">AMUW2mURSIw2//+JJxTtx6nAFLddzha8t+dFlsbSFJvUe5J/zs9nl8nSObG4XwT0pJszDCfEF1JigkCRko58BN4Z3KahuuSBk6nybZstZ1iGJgV05muLZ3GP2cX7cZDchnyHLAvlVCjZfLblfWUXLbE9A+HP360ueQ==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