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8"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319/2020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441/2020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0051.511570/2019-43</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e fornecimento de materiais Médico Hospitalar</w:t>
      </w:r>
      <w:r w:rsidDel="00000000" w:rsidR="00000000" w:rsidRPr="00000000">
        <w:rPr>
          <w:rFonts w:ascii="Arial" w:cs="Arial" w:eastAsia="Arial" w:hAnsi="Arial"/>
          <w:b w:val="1"/>
          <w:sz w:val="16"/>
          <w:szCs w:val="16"/>
          <w:rtl w:val="0"/>
        </w:rPr>
        <w:t xml:space="preserve"> (Consumo) </w:t>
      </w:r>
      <w:r w:rsidDel="00000000" w:rsidR="00000000" w:rsidRPr="00000000">
        <w:rPr>
          <w:rFonts w:ascii="Arial" w:cs="Arial" w:eastAsia="Arial" w:hAnsi="Arial"/>
          <w:sz w:val="16"/>
          <w:szCs w:val="16"/>
          <w:rtl w:val="0"/>
        </w:rPr>
        <w:t xml:space="preserve">da especialidade de Urologia, visando atender a demanda do Hospital Regional de Cacoal, por um período de 12 (doze) meses, a pedido da Secretaria de Estado da Saúde - SESAU</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e fornecimento de materiais Médico Hospitalar</w:t>
      </w:r>
      <w:r w:rsidDel="00000000" w:rsidR="00000000" w:rsidRPr="00000000">
        <w:rPr>
          <w:rFonts w:ascii="Arial" w:cs="Arial" w:eastAsia="Arial" w:hAnsi="Arial"/>
          <w:b w:val="1"/>
          <w:sz w:val="16"/>
          <w:szCs w:val="16"/>
          <w:rtl w:val="0"/>
        </w:rPr>
        <w:t xml:space="preserve"> (Consumo) </w:t>
      </w:r>
      <w:r w:rsidDel="00000000" w:rsidR="00000000" w:rsidRPr="00000000">
        <w:rPr>
          <w:rFonts w:ascii="Arial" w:cs="Arial" w:eastAsia="Arial" w:hAnsi="Arial"/>
          <w:sz w:val="16"/>
          <w:szCs w:val="16"/>
          <w:rtl w:val="0"/>
        </w:rPr>
        <w:t xml:space="preserve">da especialidade de Urologia, visando atender a demanda do Hospital Regional de Cacoal, por um período de 12 (doze) meses, a pedido da Secretaria de Estado da Saúde - SESAU.</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A entrega deverá ocorrer </w:t>
      </w:r>
      <w:r w:rsidDel="00000000" w:rsidR="00000000" w:rsidRPr="00000000">
        <w:rPr>
          <w:rFonts w:ascii="Arial" w:cs="Arial" w:eastAsia="Arial" w:hAnsi="Arial"/>
          <w:b w:val="1"/>
          <w:sz w:val="16"/>
          <w:szCs w:val="16"/>
          <w:rtl w:val="0"/>
        </w:rPr>
        <w:t xml:space="preserve">conforme solicitação via requisição da Secretaria de Saúde com definição da quantidade </w:t>
      </w:r>
      <w:r w:rsidDel="00000000" w:rsidR="00000000" w:rsidRPr="00000000">
        <w:rPr>
          <w:rFonts w:ascii="Arial" w:cs="Arial" w:eastAsia="Arial" w:hAnsi="Arial"/>
          <w:sz w:val="16"/>
          <w:szCs w:val="16"/>
          <w:rtl w:val="0"/>
        </w:rPr>
        <w:t xml:space="preserve">no prazo de até 30 dias após emissão da Nota de Empenho.</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sz w:val="16"/>
          <w:szCs w:val="16"/>
          <w:rtl w:val="0"/>
        </w:rPr>
        <w:t xml:space="preserve"> Após solicitação, a entrega deverá ser efetuada no Hospital Regional de Cacoal, Av. Malaquita, 3581 - Bairro Josino Brito - CEP: 78.965-000 - Cacoal/RO, Fone (69) 3441-6458/5503.</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6.4.1. Os dias de funcionamento são de segunda a sexta-feira, sendo de 07h30min as 17h30min.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parte inadimplida do contrato.</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a parte inadimplida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10.024, de 2019.</w:t>
      </w:r>
    </w:p>
    <w:p w:rsidR="00000000" w:rsidDel="00000000" w:rsidP="00000000" w:rsidRDefault="00000000" w:rsidRPr="00000000" w14:paraId="0000003A">
      <w:pPr>
        <w:numPr>
          <w:ilvl w:val="0"/>
          <w:numId w:val="1"/>
        </w:numPr>
        <w:spacing w:after="0" w:afterAutospacing="0" w:before="24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3B">
      <w:pPr>
        <w:numPr>
          <w:ilvl w:val="0"/>
          <w:numId w:val="1"/>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3D">
      <w:pPr>
        <w:numPr>
          <w:ilvl w:val="0"/>
          <w:numId w:val="1"/>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3E">
      <w:pPr>
        <w:numPr>
          <w:ilvl w:val="0"/>
          <w:numId w:val="1"/>
        </w:numPr>
        <w:spacing w:after="24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935"/>
        <w:gridCol w:w="890"/>
        <w:gridCol w:w="1100"/>
        <w:tblGridChange w:id="0">
          <w:tblGrid>
            <w:gridCol w:w="815"/>
            <w:gridCol w:w="6935"/>
            <w:gridCol w:w="890"/>
            <w:gridCol w:w="110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22</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33</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entregar os produtos determinado s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54</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55</w:t>
            </w:r>
          </w:p>
        </w:tc>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quanto ao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reposição dos produtos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produtos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i w:val="1"/>
          <w:sz w:val="16"/>
          <w:szCs w:val="16"/>
          <w:rtl w:val="0"/>
        </w:rPr>
        <w:t xml:space="preserve">"* incidente sobre a parte inadimplida do contrato".</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8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6">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8">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9">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w:t>
      </w:r>
      <w:r w:rsidDel="00000000" w:rsidR="00000000" w:rsidRPr="00000000">
        <w:rPr>
          <w:rFonts w:ascii="Arial" w:cs="Arial" w:eastAsia="Arial" w:hAnsi="Arial"/>
          <w:sz w:val="16"/>
          <w:szCs w:val="16"/>
          <w:rtl w:val="0"/>
        </w:rPr>
        <w:t xml:space="preserve">s</w:t>
      </w:r>
      <w:r w:rsidDel="00000000" w:rsidR="00000000" w:rsidRPr="00000000">
        <w:rPr>
          <w:rFonts w:ascii="Arial" w:cs="Arial" w:eastAsia="Arial" w:hAnsi="Arial"/>
          <w:color w:val="000000"/>
          <w:sz w:val="16"/>
          <w:szCs w:val="16"/>
          <w:rtl w:val="0"/>
        </w:rPr>
        <w:t xml:space="preserve">ou entidades municipais, distritais ou estaduais a adesão a ata de registro de preços da Administração Pública Estadual.</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F">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tab/>
        <w:tab/>
        <w:tab/>
      </w:r>
    </w:p>
    <w:p w:rsidR="00000000" w:rsidDel="00000000" w:rsidP="00000000" w:rsidRDefault="00000000" w:rsidRPr="00000000" w14:paraId="000000B0">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1">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D">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E">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F">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0">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4">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5">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jMETRBqvskj7+EiM5nFlcPwK+Q==">AMUW2mVaaQVdI7LNkSbIxcdI0V0nG+Yn6KS8Iz+kKaTTmyq2riGnozSeBxB0nIL9VxYe/m9zmgRW5JTVi53Ym4C7Hwm4A6+j0zYLvkUVPiEsZevPCAlHvH0fvH3Xlgy8G+8vUxcg1bP45R56rDVTwX2nrSb0wQuLeA==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