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316/2020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255/2020</w:t>
      </w:r>
    </w:p>
    <w:p w:rsidR="00000000" w:rsidDel="00000000" w:rsidP="00000000" w:rsidRDefault="00000000" w:rsidRPr="00000000" w14:paraId="0000000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0009.009141/2020-60</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w:t>
      </w:r>
      <w:r w:rsidDel="00000000" w:rsidR="00000000" w:rsidRPr="00000000">
        <w:rPr>
          <w:rFonts w:ascii="Arial" w:cs="Arial" w:eastAsia="Arial" w:hAnsi="Arial"/>
          <w:sz w:val="16"/>
          <w:szCs w:val="16"/>
          <w:rtl w:val="0"/>
        </w:rPr>
        <w:t xml:space="preserve">para </w:t>
      </w:r>
      <w:r w:rsidDel="00000000" w:rsidR="00000000" w:rsidRPr="00000000">
        <w:rPr>
          <w:rFonts w:ascii="Arial" w:cs="Arial" w:eastAsia="Arial" w:hAnsi="Arial"/>
          <w:color w:val="000000"/>
          <w:sz w:val="16"/>
          <w:szCs w:val="16"/>
          <w:rtl w:val="0"/>
        </w:rPr>
        <w:t xml:space="preserve">futura e eventual </w:t>
      </w:r>
      <w:r w:rsidDel="00000000" w:rsidR="00000000" w:rsidRPr="00000000">
        <w:rPr>
          <w:rFonts w:ascii="Arial" w:cs="Arial" w:eastAsia="Arial" w:hAnsi="Arial"/>
          <w:sz w:val="16"/>
          <w:szCs w:val="16"/>
          <w:rtl w:val="0"/>
        </w:rPr>
        <w:t xml:space="preserve">aquisições de equipamentos fotográficos​ e acessórios de vídeo e áudio(Bateria LP - E6N, Lente EF 16-35, Lente Profissional, Lente EF 50MM, Tripé, Flash,, Estabilizador de Câmeras, Suporte de Banner, Smartfhone, Câmera DSLR, Câmera Digital</w:t>
      </w: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sz w:val="16"/>
          <w:szCs w:val="16"/>
          <w:rtl w:val="0"/>
        </w:rPr>
        <w:t xml:space="preserve"> a pedido do Departamento de Estradas, Rodagens, Infraestrutura e Serviços Públicos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w:t>
      </w:r>
      <w:r w:rsidDel="00000000" w:rsidR="00000000" w:rsidRPr="00000000">
        <w:rPr>
          <w:rFonts w:ascii="Arial" w:cs="Arial" w:eastAsia="Arial" w:hAnsi="Arial"/>
          <w:color w:val="000000"/>
          <w:sz w:val="16"/>
          <w:szCs w:val="16"/>
          <w:rtl w:val="0"/>
        </w:rPr>
        <w:t xml:space="preserve">futura e eventual </w:t>
      </w:r>
      <w:r w:rsidDel="00000000" w:rsidR="00000000" w:rsidRPr="00000000">
        <w:rPr>
          <w:rFonts w:ascii="Arial" w:cs="Arial" w:eastAsia="Arial" w:hAnsi="Arial"/>
          <w:sz w:val="16"/>
          <w:szCs w:val="16"/>
          <w:rtl w:val="0"/>
        </w:rPr>
        <w:t xml:space="preserve">aquisições de equipamentos fotográficos​ e acessórios de vídeo e áudio(Bateria LP - E6N, Lente EF 16-35, Lente Profissional, Lente EF 50MM, Tripé, Flash,, Estabilizador de Câmeras, Suporte de Banner, Smartfhone, Câmera DSLR, Câmera Digital</w:t>
      </w: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sz w:val="16"/>
          <w:szCs w:val="16"/>
          <w:rtl w:val="0"/>
        </w:rPr>
        <w:t xml:space="preserve"> a pedido do Departamento de Estradas, Rodagens, Infraestrutura e Serviços Públicos DER-RO.</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1"/>
          <w:sz w:val="16"/>
          <w:szCs w:val="16"/>
          <w:rtl w:val="0"/>
        </w:rPr>
        <w:t xml:space="preserve">A entrega será parcial em até 30 (trinta) dias, contados a partir do recebimento pela Contratada da Ordem de Fornecimento ou da nota de Empenho, o que ocorrer primeiro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6.4.DO LOCAL DE ENTREGA:A entrega será procedida pela Gerência de Operações Logísticas - DER-GLOG, por meio da Comissão de Recebimento, localizada no Centro Político Administrativo Palácio Rio Madeira, Edifício Rio Jamary, 5º andar, Avenida Farquar, nº. 2986, Bairro Pedrinhas, Tel: (69) 3216-59-04/7373, CEP: 76.903-036, Porto Velho – RO, no horário das 07h30min às 13h30min, de Segunda–feira a Sexta-feira.</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Pela Inexecução total ou parcial do objeto, o DER-RO poderá, garantida a prévia defesa, aplicar à empresa contratada as seguintes sanções:</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9.1.2.1.</w:t>
      </w:r>
      <w:r w:rsidDel="00000000" w:rsidR="00000000" w:rsidRPr="00000000">
        <w:rPr>
          <w:rFonts w:ascii="Arial" w:cs="Arial" w:eastAsia="Arial" w:hAnsi="Arial"/>
          <w:sz w:val="16"/>
          <w:szCs w:val="16"/>
          <w:rtl w:val="0"/>
        </w:rPr>
        <w:t xml:space="preserve"> A multa moratória será aplicada a partir do 1º (primeiro) dia útil da inadimplência, contado da data definida para o regular cumprimento da obrigação;</w:t>
      </w:r>
      <w:r w:rsidDel="00000000" w:rsidR="00000000" w:rsidRPr="00000000">
        <w:rPr>
          <w:rtl w:val="0"/>
        </w:rPr>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Multa de 10% (dez por cento) sobre o valor do produto não entregue, no caso de inexecução parcial, sem embargo de indenização dos prejuízos porventura causados ao DER/RO pela execução parcial do contrato;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Multa de 10% (dez por cento) sobre o valor total do contrato, no caso de sua inexecução total, sem embargo de indenização dos prejuízos porventura causados ao DER/RO;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A multa prevista nos subitens </w:t>
      </w:r>
      <w:r w:rsidDel="00000000" w:rsidR="00000000" w:rsidRPr="00000000">
        <w:rPr>
          <w:rFonts w:ascii="Arial" w:cs="Arial" w:eastAsia="Arial" w:hAnsi="Arial"/>
          <w:b w:val="1"/>
          <w:sz w:val="16"/>
          <w:szCs w:val="16"/>
          <w:rtl w:val="0"/>
        </w:rPr>
        <w:t xml:space="preserve">9.1.2, 9.1.3</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poderão ser aplicadas isoladas ou em conjunto com as previstas nos subitens </w:t>
      </w: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00000" w:rsidDel="00000000" w:rsidP="00000000" w:rsidRDefault="00000000" w:rsidRPr="00000000" w14:paraId="00000040">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41">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42">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4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8">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5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5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6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haverásob-hipótese alguma, pagamento antecipado.</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68">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DER </w:t>
      </w:r>
      <w:r w:rsidDel="00000000" w:rsidR="00000000" w:rsidRPr="00000000">
        <w:rPr>
          <w:rFonts w:ascii="Arial" w:cs="Arial" w:eastAsia="Arial" w:hAnsi="Arial"/>
          <w:sz w:val="16"/>
          <w:szCs w:val="16"/>
          <w:rtl w:val="0"/>
        </w:rPr>
        <w:t xml:space="preserve">– Departamento de Estradas, Rodagens, Infraestrutura e Serviços Públicos.</w:t>
      </w:r>
    </w:p>
    <w:p w:rsidR="00000000" w:rsidDel="00000000" w:rsidP="00000000" w:rsidRDefault="00000000" w:rsidRPr="00000000" w14:paraId="00000069">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6A">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7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3">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4">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5">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6">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A">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7B">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C9+15gS2TqvxfvwwZsvhHsGXlw==">AMUW2mXgav8fTXWQ8Xfwaeea8UV5XoeCr8RluljBuo9jOqHNRsi4XmdPJXED/uvd+h5kaEdMHFgMJ9vPK/ZlAGYMRlaOXnhxtZ/BkpMVdTjMRFf8YplLIIgzdsagcrU/oB/CPSxAcFhzPDI1qVZAyInVLJm7usEYWA==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