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N°305 /2020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PRESENCIAL  Nº 577/2020</w:t>
      </w:r>
    </w:p>
    <w:p w:rsidR="00000000" w:rsidDel="00000000" w:rsidP="00000000" w:rsidRDefault="00000000" w:rsidRPr="00000000" w14:paraId="0000000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PROCESSO Nº 0025.334876/2020-21</w:t>
      </w: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w:t>
      </w:r>
      <w:r w:rsidDel="00000000" w:rsidR="00000000" w:rsidRPr="00000000">
        <w:rPr>
          <w:rFonts w:ascii="Arial" w:cs="Arial" w:eastAsia="Arial" w:hAnsi="Arial"/>
          <w:sz w:val="16"/>
          <w:szCs w:val="16"/>
          <w:rtl w:val="0"/>
        </w:rPr>
        <w:t xml:space="preserve"> para </w:t>
      </w:r>
      <w:r w:rsidDel="00000000" w:rsidR="00000000" w:rsidRPr="00000000">
        <w:rPr>
          <w:rFonts w:ascii="Arial" w:cs="Arial" w:eastAsia="Arial" w:hAnsi="Arial"/>
          <w:color w:val="000000"/>
          <w:sz w:val="16"/>
          <w:szCs w:val="16"/>
          <w:rtl w:val="0"/>
        </w:rPr>
        <w:t xml:space="preserve">futuras e eventuais aquisições </w:t>
      </w:r>
      <w:r w:rsidDel="00000000" w:rsidR="00000000" w:rsidRPr="00000000">
        <w:rPr>
          <w:rFonts w:ascii="Arial" w:cs="Arial" w:eastAsia="Arial" w:hAnsi="Arial"/>
          <w:sz w:val="16"/>
          <w:szCs w:val="16"/>
          <w:rtl w:val="0"/>
        </w:rPr>
        <w:t xml:space="preserve">de mudas clonais de café do Grupo Robusta, Cultivar Conilon a pedido</w:t>
      </w:r>
      <w:r w:rsidDel="00000000" w:rsidR="00000000" w:rsidRPr="00000000">
        <w:rPr>
          <w:rFonts w:ascii="Arial" w:cs="Arial" w:eastAsia="Arial" w:hAnsi="Arial"/>
          <w:color w:val="000000"/>
          <w:sz w:val="16"/>
          <w:szCs w:val="16"/>
          <w:rtl w:val="0"/>
        </w:rPr>
        <w:t xml:space="preserve"> da </w:t>
      </w:r>
      <w:r w:rsidDel="00000000" w:rsidR="00000000" w:rsidRPr="00000000">
        <w:rPr>
          <w:rFonts w:ascii="Arial" w:cs="Arial" w:eastAsia="Arial" w:hAnsi="Arial"/>
          <w:sz w:val="16"/>
          <w:szCs w:val="16"/>
          <w:rtl w:val="0"/>
        </w:rPr>
        <w:t xml:space="preserve">Secretaria de Estado da Agricultura – SEAGRI - 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r w:rsidDel="00000000" w:rsidR="00000000" w:rsidRPr="00000000">
        <w:rPr>
          <w:rFonts w:ascii="Arial" w:cs="Arial" w:eastAsia="Arial" w:hAnsi="Arial"/>
          <w:sz w:val="16"/>
          <w:szCs w:val="16"/>
          <w:rtl w:val="0"/>
        </w:rPr>
        <w:t xml:space="preserve">de mudas clonais de café do Grupo Robusta, Cultivar Conilon a pedido da</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Secretaria de Estado da Agricultura – SEAGRI - RO.</w:t>
      </w:r>
      <w:r w:rsidDel="00000000" w:rsidR="00000000" w:rsidRPr="00000000">
        <w:rPr>
          <w:rtl w:val="0"/>
        </w:rPr>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E FORMA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 DE ENTREGA: O prazo deverá ser o de 90 (NOVENTA DIAS CORRIDOS), após a entrega da Autorização de Fornecimento ao detentor da Ata de Registro de Preços, de acordo com o princípio da razoabilidade e proporcionalidade. O prazo de 90 (noventa) dias se justiﬁca em razão que este poderá ser prorrogado, tornando-se 180 dias, conforme observação abaixo.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LOCAL DE ENTREGA: </w:t>
      </w:r>
      <w:r w:rsidDel="00000000" w:rsidR="00000000" w:rsidRPr="00000000">
        <w:rPr>
          <w:rFonts w:ascii="Arial" w:cs="Arial" w:eastAsia="Arial" w:hAnsi="Arial"/>
          <w:b w:val="1"/>
          <w:sz w:val="16"/>
          <w:szCs w:val="16"/>
          <w:rtl w:val="0"/>
        </w:rPr>
        <w:t xml:space="preserve">A entrega das mudas clonais de café deverá ser feita diretamente no Viveiro das Empresas detentoras da ATA de Registro de Preços. Podendo ser retiradas do viveiro pelo Estado.</w:t>
      </w:r>
      <w:r w:rsidDel="00000000" w:rsidR="00000000" w:rsidRPr="00000000">
        <w:rPr>
          <w:rtl w:val="0"/>
        </w:rPr>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Conforme o disposto no art. 7º da Lei nº 10.520, de 17/07/2002, quem, convocado dentro do prazo de validade da sua proposta, não celebrar o contrato, deixar de entregar, apresentar documentação falsa, ensejar o retardamento da execução do seu objeto, não mantiver a proposta, falhar ou fraudar na execução do contrato, comportar-se de modo inidôneo ou cometer fraude ﬁscal, ﬁcará impedido de licitar e contratar com a Administração, e será descredenciado no SICAF, ou nos sistemas de cadastramento de fornecedores a que se refere o inciso XIV do artigo 4º, da sobredita Lei, pelo prazo de até 05 (cinco) anos, sem prejuízo das sanções previstas no Edital, e demais culminações legais.</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 a licitante vencedora recusar-se a entregar o serviço, injustiﬁcadamente, será convocado os demais proponentes chamados, observada a ordem de classiﬁcação, sujeitando-se o proponente desistente às sanções abaixo relacionadas, sem prejuízo das aplicações retro:</w:t>
      </w:r>
    </w:p>
    <w:p w:rsidR="00000000" w:rsidDel="00000000" w:rsidP="00000000" w:rsidRDefault="00000000" w:rsidRPr="00000000" w14:paraId="00000033">
      <w:pPr>
        <w:numPr>
          <w:ilvl w:val="0"/>
          <w:numId w:val="3"/>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Advertência por escrito, quando Contratada praticar irregularidades de pequena monta;</w:t>
      </w:r>
    </w:p>
    <w:p w:rsidR="00000000" w:rsidDel="00000000" w:rsidP="00000000" w:rsidRDefault="00000000" w:rsidRPr="00000000" w14:paraId="00000034">
      <w:pPr>
        <w:numPr>
          <w:ilvl w:val="0"/>
          <w:numId w:val="3"/>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Multa administrativa no percentual de 10% (dez por cento), por dia de atraso na entrega, sobre o valor do item adjudicado, a partir do primeiro dia útil da data ﬁxada para a entrega do objeto, limitada a 10% (dez por cento) do valor dos serviços;</w:t>
      </w:r>
    </w:p>
    <w:p w:rsidR="00000000" w:rsidDel="00000000" w:rsidP="00000000" w:rsidRDefault="00000000" w:rsidRPr="00000000" w14:paraId="00000035">
      <w:pPr>
        <w:numPr>
          <w:ilvl w:val="0"/>
          <w:numId w:val="3"/>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Suspensão temporária de participação em licitações e impedimento de contratar com a Administração Pública, por prazo de até 02 (dois) anos;</w:t>
      </w:r>
    </w:p>
    <w:p w:rsidR="00000000" w:rsidDel="00000000" w:rsidP="00000000" w:rsidRDefault="00000000" w:rsidRPr="00000000" w14:paraId="00000036">
      <w:pPr>
        <w:numPr>
          <w:ilvl w:val="0"/>
          <w:numId w:val="3"/>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Declaração de inidoneidade para licitar e contratar com a Administração Pública, enquanto perdurarem os motivos determinantes da punição ou até que seja promovida a reabilitação, na forma da lei, perante a própria autoridade que aplicou a penalidade;</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Sem prejuízo das sanções cominadas no artigo 87, I,II,III e IV da Lei nº8666/93, pela inexecução total ou parcial do contrato, a Administração poderá, garantida a prévia e ampla defesa, aplicar à Contratada multa de até 20% (vinte por cento) sobre o valor do instrumento contratual se:</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 adjucatária recusar-se a retirar o instrumento contratual injustificadamente ou se não apresentar situação regular na ocasião dos recebimentos, garantida a prévia e ampla defesa, aplicar a Contratada multa de até 20% (vinte por cento) sobre o valor adjudicado;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 licitante, adjudicatária ou a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 e no CAGEFIMP (cadastro Estadual de Fornecedores Impedidos de Licitar);</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a cobrança judicial;</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w:t>
      </w:r>
      <w:r w:rsidDel="00000000" w:rsidR="00000000" w:rsidRPr="00000000">
        <w:rPr>
          <w:rFonts w:ascii="Arial" w:cs="Arial" w:eastAsia="Arial" w:hAnsi="Arial"/>
          <w:sz w:val="16"/>
          <w:szCs w:val="16"/>
          <w:rtl w:val="0"/>
        </w:rPr>
        <w:t xml:space="preserve"> As multas previstas nessa seção não eximem a adjudicatária ou contratada da reparação dos eventuais danos, perdas ou prejuízos que seu ato punível venha a causar à Administração;</w:t>
      </w:r>
    </w:p>
    <w:p w:rsidR="00000000" w:rsidDel="00000000" w:rsidP="00000000" w:rsidRDefault="00000000" w:rsidRPr="00000000" w14:paraId="0000003C">
      <w:pPr>
        <w:numPr>
          <w:ilvl w:val="0"/>
          <w:numId w:val="1"/>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As penalidades são independentes e a aplicação de uma não exclui a das demais, quando cabíveis.</w:t>
      </w:r>
    </w:p>
    <w:p w:rsidR="00000000" w:rsidDel="00000000" w:rsidP="00000000" w:rsidRDefault="00000000" w:rsidRPr="00000000" w14:paraId="0000003D">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Quaisquer multas aplicadas deverão ser recolhidas junto ao Órgão Competente até 10 (dez) dias úteis contados de sua publicação no Diário Oﬁcial do Estado, podendo, ainda, ser descontadas de qualquer fatura ou crédito existente, a critério da Contratante.</w:t>
      </w:r>
    </w:p>
    <w:p w:rsidR="00000000" w:rsidDel="00000000" w:rsidP="00000000" w:rsidRDefault="00000000" w:rsidRPr="00000000" w14:paraId="0000003E">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000000" w:rsidDel="00000000" w:rsidP="00000000" w:rsidRDefault="00000000" w:rsidRPr="00000000" w14:paraId="0000003F">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As penalidades previstas no item anterior não se aplicarão as licitantes remanescentes convocadas em virtude da não aceitação da primeira colocada, ressalvado o caso de inadimplemento contratual, após a contratação de qualquer das empresas.</w:t>
      </w:r>
    </w:p>
    <w:p w:rsidR="00000000" w:rsidDel="00000000" w:rsidP="00000000" w:rsidRDefault="00000000" w:rsidRPr="00000000" w14:paraId="00000040">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Quaisquer multas aplicadas deverão ser recolhidas junto ao Órgão Competente até 10 (dez) dias úteis contados de sua publicação no Diário Oﬁcial do Estado, podendo, ainda, ser descontadas de qualquer fatura ou crédito existente, a critério da Contratante.</w:t>
      </w:r>
    </w:p>
    <w:p w:rsidR="00000000" w:rsidDel="00000000" w:rsidP="00000000" w:rsidRDefault="00000000" w:rsidRPr="00000000" w14:paraId="00000041">
      <w:pPr>
        <w:numPr>
          <w:ilvl w:val="0"/>
          <w:numId w:val="1"/>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As sanções serão obrigatoriamente registradas no Sistema de Cadastramento de Fornecedores – SICAF ou nos sistemas de cadastramento de fornecedores a que se refere o inciso XIV do artigo 4º, da sobredita Lei.</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São exemplo de infração administrativa penalizáveis, nos ermos da Lei n.º 8.666/93, da Lei nº 10.520/02, do Decreto nº 3.555/00 e do Decreto nº 5.540/05:</w:t>
      </w:r>
    </w:p>
    <w:p w:rsidR="00000000" w:rsidDel="00000000" w:rsidP="00000000" w:rsidRDefault="00000000" w:rsidRPr="00000000" w14:paraId="00000045">
      <w:pPr>
        <w:numPr>
          <w:ilvl w:val="0"/>
          <w:numId w:val="2"/>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46">
      <w:pPr>
        <w:numPr>
          <w:ilvl w:val="0"/>
          <w:numId w:val="2"/>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47">
      <w:pPr>
        <w:numPr>
          <w:ilvl w:val="0"/>
          <w:numId w:val="2"/>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48">
      <w:pPr>
        <w:numPr>
          <w:ilvl w:val="0"/>
          <w:numId w:val="2"/>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49">
      <w:pPr>
        <w:numPr>
          <w:ilvl w:val="0"/>
          <w:numId w:val="2"/>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4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Para efeito de aplicação de multas, às infrações são atribuídos graus, com percentuais de multas conforme a tabela a seguir, que elenca apenas as principais situações previstas, não eximindo de outras equivalentes que surgirem, conforme o caso:</w:t>
      </w:r>
    </w:p>
    <w:tbl>
      <w:tblPr>
        <w:tblStyle w:val="Table1"/>
        <w:tblW w:w="975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65"/>
        <w:gridCol w:w="5840"/>
        <w:gridCol w:w="1055"/>
        <w:gridCol w:w="1895"/>
        <w:tblGridChange w:id="0">
          <w:tblGrid>
            <w:gridCol w:w="965"/>
            <w:gridCol w:w="5840"/>
            <w:gridCol w:w="1055"/>
            <w:gridCol w:w="1895"/>
          </w:tblGrid>
        </w:tblGridChange>
      </w:tblGrid>
      <w:tr>
        <w:trPr>
          <w:trHeight w:val="755" w:hRule="atLeast"/>
        </w:trPr>
        <w:tc>
          <w:tcP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MULTA*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20,0 % por dia/ocorrência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o serviço determinado pela FISCALIZAÇÃO sem motivo justificado,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30,0% por dia/ocorrência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paliativo ou deixar de providenciar recomposição complementar,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5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30,0 % por dia/ocorrência</w:t>
            </w:r>
          </w:p>
        </w:tc>
      </w:tr>
    </w:tbl>
    <w:p w:rsidR="00000000" w:rsidDel="00000000" w:rsidP="00000000" w:rsidRDefault="00000000" w:rsidRPr="00000000" w14:paraId="0000006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*Incidente sobre o valor da parte inadimplida do contrato*</w:t>
      </w:r>
    </w:p>
    <w:p w:rsidR="00000000" w:rsidDel="00000000" w:rsidP="00000000" w:rsidRDefault="00000000" w:rsidRPr="00000000" w14:paraId="0000006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bl>
      <w:tblPr>
        <w:tblStyle w:val="Table2"/>
        <w:tblW w:w="974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65"/>
        <w:gridCol w:w="6455"/>
        <w:gridCol w:w="1055"/>
        <w:gridCol w:w="1265"/>
        <w:tblGridChange w:id="0">
          <w:tblGrid>
            <w:gridCol w:w="965"/>
            <w:gridCol w:w="6455"/>
            <w:gridCol w:w="1055"/>
            <w:gridCol w:w="1265"/>
          </w:tblGrid>
        </w:tblGridChange>
      </w:tblGrid>
      <w:tr>
        <w:trPr>
          <w:trHeight w:val="755" w:hRule="atLeast"/>
        </w:trPr>
        <w:tc>
          <w:tcP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MULTA*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para execução de serviços, por dia;</w:t>
            </w:r>
          </w:p>
        </w:tc>
        <w:tc>
          <w:tcP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 por dia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do contrato, por dia e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10,0% por dia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6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7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20,0% por dia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7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7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os serviços nos prazos estabelecidos, observados os limites mínimos estabelecidos por este Termo de Referência, por serviço,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7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7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7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7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Realizar os serviços solicitados e de entregar os respectivos produtos, por tipo e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7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7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7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Mar>
              <w:top w:w="100.0" w:type="dxa"/>
              <w:left w:w="100.0" w:type="dxa"/>
              <w:bottom w:w="100.0" w:type="dxa"/>
              <w:right w:w="100.0" w:type="dxa"/>
            </w:tcMar>
            <w:vAlign w:val="top"/>
          </w:tcPr>
          <w:p w:rsidR="00000000" w:rsidDel="00000000" w:rsidP="00000000" w:rsidRDefault="00000000" w:rsidRPr="00000000" w14:paraId="0000007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8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8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Mar>
              <w:top w:w="100.0" w:type="dxa"/>
              <w:left w:w="100.0" w:type="dxa"/>
              <w:bottom w:w="100.0" w:type="dxa"/>
              <w:right w:w="100.0" w:type="dxa"/>
            </w:tcMar>
            <w:vAlign w:val="top"/>
          </w:tcPr>
          <w:p w:rsidR="00000000" w:rsidDel="00000000" w:rsidP="00000000" w:rsidRDefault="00000000" w:rsidRPr="00000000" w14:paraId="0000008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Apresentar, quando solicitado, documentação fiscal, trabalhista e previdenciária,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8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8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8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Mar>
              <w:top w:w="100.0" w:type="dxa"/>
              <w:left w:w="100.0" w:type="dxa"/>
              <w:bottom w:w="100.0" w:type="dxa"/>
              <w:right w:w="100.0" w:type="dxa"/>
            </w:tcMar>
            <w:vAlign w:val="top"/>
          </w:tcPr>
          <w:p w:rsidR="00000000" w:rsidDel="00000000" w:rsidP="00000000" w:rsidRDefault="00000000" w:rsidRPr="00000000" w14:paraId="0000008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Observar rigorosamente as Normas de Segurança e Medicina do Trabalho vigente.</w:t>
            </w:r>
          </w:p>
        </w:tc>
        <w:tc>
          <w:tcPr>
            <w:tcMar>
              <w:top w:w="100.0" w:type="dxa"/>
              <w:left w:w="100.0" w:type="dxa"/>
              <w:bottom w:w="100.0" w:type="dxa"/>
              <w:right w:w="100.0" w:type="dxa"/>
            </w:tcMar>
            <w:vAlign w:val="top"/>
          </w:tcPr>
          <w:p w:rsidR="00000000" w:rsidDel="00000000" w:rsidP="00000000" w:rsidRDefault="00000000" w:rsidRPr="00000000" w14:paraId="0000008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8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10,0% por dia</w:t>
            </w:r>
          </w:p>
        </w:tc>
      </w:tr>
    </w:tbl>
    <w:p w:rsidR="00000000" w:rsidDel="00000000" w:rsidP="00000000" w:rsidRDefault="00000000" w:rsidRPr="00000000" w14:paraId="0000008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*Incidente sobre o valor da parte inadimplida do contrato*</w:t>
      </w:r>
    </w:p>
    <w:p w:rsidR="00000000" w:rsidDel="00000000" w:rsidP="00000000" w:rsidRDefault="00000000" w:rsidRPr="00000000" w14:paraId="0000008B">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aqui previstas poderão ser aplicadas concomitantemente, facultada a defesa prévia do interessado no respectivo processo, no prazo de 5 (cinco) dias úteis.</w:t>
      </w:r>
    </w:p>
    <w:p w:rsidR="00000000" w:rsidDel="00000000" w:rsidP="00000000" w:rsidRDefault="00000000" w:rsidRPr="00000000" w14:paraId="0000008C">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9.14. Após 2 (dois) dias da falta de execução do objeto, conforme datas estabelecidas no cronograma de execução deste Termo de Referência, será considerada inexecução total do contrato, o que ensejará a rescisão contratual;</w:t>
      </w:r>
    </w:p>
    <w:p w:rsidR="00000000" w:rsidDel="00000000" w:rsidP="00000000" w:rsidRDefault="00000000" w:rsidRPr="00000000" w14:paraId="0000008D">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9.15.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8E">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9.16.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F">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9.17. A autoridade competente, na aplicação das sanções, levará em consideração a gravidade da conduta do infrator, o caráter educativo da pena, bem como o dano causado à Administração, observando o princípio da proporcionalidade;</w:t>
      </w:r>
    </w:p>
    <w:p w:rsidR="00000000" w:rsidDel="00000000" w:rsidP="00000000" w:rsidRDefault="00000000" w:rsidRPr="00000000" w14:paraId="00000090">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sz w:val="16"/>
          <w:szCs w:val="16"/>
          <w:rtl w:val="0"/>
        </w:rPr>
        <w:t xml:space="preserve">9.18. A sanção será obrigatoriamente registrada no Sistema de Cadastramento Unificado de Fornecedores – SICAF, bem como em sistemas Estaduais.</w:t>
      </w: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2">
      <w:pPr>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10. DA UTILIZAÇÃO DA ATA </w:t>
      </w:r>
      <w:r w:rsidDel="00000000" w:rsidR="00000000" w:rsidRPr="00000000">
        <w:rPr>
          <w:rtl w:val="0"/>
        </w:rPr>
      </w:r>
    </w:p>
    <w:p w:rsidR="00000000" w:rsidDel="00000000" w:rsidP="00000000" w:rsidRDefault="00000000" w:rsidRPr="00000000" w14:paraId="00000093">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4">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A">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F">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B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B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B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SEAGRI - Secretaria de Estado da Agricultura </w:t>
      </w:r>
      <w:r w:rsidDel="00000000" w:rsidR="00000000" w:rsidRPr="00000000">
        <w:rPr>
          <w:rtl w:val="0"/>
        </w:rPr>
      </w:r>
    </w:p>
    <w:p w:rsidR="00000000" w:rsidDel="00000000" w:rsidP="00000000" w:rsidRDefault="00000000" w:rsidRPr="00000000" w14:paraId="000000BB">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B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C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2">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5">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6">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r>
      <w:r w:rsidDel="00000000" w:rsidR="00000000" w:rsidRPr="00000000">
        <w:rPr>
          <w:rFonts w:ascii="Arial" w:cs="Arial" w:eastAsia="Arial" w:hAnsi="Arial"/>
          <w:b w:val="1"/>
          <w:sz w:val="16"/>
          <w:szCs w:val="16"/>
          <w:rtl w:val="0"/>
        </w:rPr>
        <w:t xml:space="preserve">SUELEN TORRES DA SILVA</w:t>
      </w:r>
      <w:r w:rsidDel="00000000" w:rsidR="00000000" w:rsidRPr="00000000">
        <w:rPr>
          <w:rtl w:val="0"/>
        </w:rPr>
      </w:r>
    </w:p>
    <w:p w:rsidR="00000000" w:rsidDel="00000000" w:rsidP="00000000" w:rsidRDefault="00000000" w:rsidRPr="00000000" w14:paraId="000000C7">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Interina</w:t>
      </w:r>
    </w:p>
    <w:p w:rsidR="00000000" w:rsidDel="00000000" w:rsidP="00000000" w:rsidRDefault="00000000" w:rsidRPr="00000000" w14:paraId="000000C8">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C">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D">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itemincisoromano" w:customStyle="1">
    <w:name w:val="item_inciso_romano"/>
    <w:basedOn w:val="Normal"/>
    <w:rsid w:val="003F204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NkfP7JhGpx81C+9rlfFhB0/yMQ==">AMUW2mVjjxnm6D95NvXwJfOIt/GKZejBhTbpl1rv4vq+thdT2YExBM4lMyyU7a2CTHNzl8viR9wIKCGJHUVpBdfa8GTRMoXZFJT4OHQYG8sN7CmMo9UZlZizVGU3Z7PZhdqMtYoDJYzFNaVheZBhO6I87Az/TVotgA==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2020-01-30T13:13:00Z</dcterms:created>
  <dc:creator>SESAU</dc:creator>
</cp:coreProperties>
</file>