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7"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303/2020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035/2020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0033.415069/2019-75</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w:t>
      </w:r>
      <w:r w:rsidDel="00000000" w:rsidR="00000000" w:rsidRPr="00000000">
        <w:rPr>
          <w:rFonts w:ascii="Arial" w:cs="Arial" w:eastAsia="Arial" w:hAnsi="Arial"/>
          <w:b w:val="1"/>
          <w:sz w:val="16"/>
          <w:szCs w:val="16"/>
          <w:rtl w:val="0"/>
        </w:rPr>
        <w:t xml:space="preserve">aquisição de materiais e equipamentos  hospitalares e  permanentes para as unidades básicas de saúde</w:t>
      </w:r>
      <w:r w:rsidDel="00000000" w:rsidR="00000000" w:rsidRPr="00000000">
        <w:rPr>
          <w:rFonts w:ascii="Arial" w:cs="Arial" w:eastAsia="Arial" w:hAnsi="Arial"/>
          <w:sz w:val="16"/>
          <w:szCs w:val="16"/>
          <w:rtl w:val="0"/>
        </w:rPr>
        <w:t xml:space="preserve">, visando atender as necessidades do Hospital de Base Dr. Ary Pinheiro - HBAP, a pedido da SECRETARIA DE ESTADO DE JUSTIÇA- SEJUS.</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w:t>
      </w:r>
      <w:r w:rsidDel="00000000" w:rsidR="00000000" w:rsidRPr="00000000">
        <w:rPr>
          <w:rFonts w:ascii="Arial" w:cs="Arial" w:eastAsia="Arial" w:hAnsi="Arial"/>
          <w:b w:val="1"/>
          <w:sz w:val="16"/>
          <w:szCs w:val="16"/>
          <w:rtl w:val="0"/>
        </w:rPr>
        <w:t xml:space="preserve">aquisição de materiais e equipamentos  hospitalares e  permanentes para as unidades básicas de saúde</w:t>
      </w:r>
      <w:r w:rsidDel="00000000" w:rsidR="00000000" w:rsidRPr="00000000">
        <w:rPr>
          <w:rFonts w:ascii="Arial" w:cs="Arial" w:eastAsia="Arial" w:hAnsi="Arial"/>
          <w:sz w:val="16"/>
          <w:szCs w:val="16"/>
          <w:rtl w:val="0"/>
        </w:rPr>
        <w:t xml:space="preserve">, visando atender as necessidades do Hospital de Base Dr. Ary Pinheiro - HBAP, a pedido da SECRETARIA DE ESTADO DE JUSTIÇA- SEJUS..</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 </w:t>
      </w:r>
      <w:r w:rsidDel="00000000" w:rsidR="00000000" w:rsidRPr="00000000">
        <w:rPr>
          <w:rFonts w:ascii="Arial" w:cs="Arial" w:eastAsia="Arial" w:hAnsi="Arial"/>
          <w:b w:val="1"/>
          <w:sz w:val="16"/>
          <w:szCs w:val="16"/>
          <w:rtl w:val="0"/>
        </w:rPr>
        <w:t xml:space="preserve">Num prazo máximo de 01 (um) mês a contar do recebimento da nota de empenho.  </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sz w:val="16"/>
          <w:szCs w:val="16"/>
          <w:rtl w:val="0"/>
        </w:rPr>
        <w:t xml:space="preserve"> Os materiais deverão ser entregues no </w:t>
      </w:r>
      <w:r w:rsidDel="00000000" w:rsidR="00000000" w:rsidRPr="00000000">
        <w:rPr>
          <w:rFonts w:ascii="Arial" w:cs="Arial" w:eastAsia="Arial" w:hAnsi="Arial"/>
          <w:b w:val="1"/>
          <w:sz w:val="16"/>
          <w:szCs w:val="16"/>
          <w:rtl w:val="0"/>
        </w:rPr>
        <w:t xml:space="preserve">Almoxarifado Central do Governo, Rua Antônio Lacerda, 4138, Bairro Setor Industrial</w:t>
      </w:r>
      <w:r w:rsidDel="00000000" w:rsidR="00000000" w:rsidRPr="00000000">
        <w:rPr>
          <w:rFonts w:ascii="Arial" w:cs="Arial" w:eastAsia="Arial" w:hAnsi="Arial"/>
          <w:sz w:val="16"/>
          <w:szCs w:val="16"/>
          <w:rtl w:val="0"/>
        </w:rPr>
        <w:t xml:space="preserve">, com Horário de Funcionamento das 07h30min ás 13h30min de segunda a sexta-feira, com acuse de recebimento, como nas formas habituais.</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 </w:t>
      </w: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 </w:t>
      </w: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à terceiros.</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10"/>
        <w:gridCol w:w="7280"/>
        <w:gridCol w:w="785"/>
        <w:gridCol w:w="980"/>
        <w:tblGridChange w:id="0">
          <w:tblGrid>
            <w:gridCol w:w="710"/>
            <w:gridCol w:w="7280"/>
            <w:gridCol w:w="785"/>
            <w:gridCol w:w="98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quem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casos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a restauração do sistema e reposição de equipamentos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execução de serviço nos prazos estabelecidos, observados os limites mínimos estabelecidos por esse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Disponibilizar os equipamentos, sistema, estabelecimentos credenciados; em número mínimo, treinamento e suporte aos demais necessários à realização dos serviços do escopo do contrato;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relatórios exigidos para o objeto, por tipo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Substituir funcionário que se conduza de modo inconveniente ou não atenda as necessidades do órgão, por funcionário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por ocorrência,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bl>
    <w:p w:rsidR="00000000" w:rsidDel="00000000" w:rsidP="00000000" w:rsidRDefault="00000000" w:rsidRPr="00000000" w14:paraId="0000008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sanções aqui previstas poderão ser aplicadas cumulativemente, facultada a defesa prévia do interessado, no respectivo processo, no prazo de 05 (cinco) dias úteis.</w:t>
      </w:r>
    </w:p>
    <w:p w:rsidR="00000000" w:rsidDel="00000000" w:rsidP="00000000" w:rsidRDefault="00000000" w:rsidRPr="00000000" w14:paraId="0000008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w:t>
      </w:r>
    </w:p>
    <w:p w:rsidR="00000000" w:rsidDel="00000000" w:rsidP="00000000" w:rsidRDefault="00000000" w:rsidRPr="00000000" w14:paraId="0000008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9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9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9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000000" w:rsidDel="00000000" w:rsidP="00000000" w:rsidRDefault="00000000" w:rsidRPr="00000000" w14:paraId="0000009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Tenham sofrido condenações definitivas por praticarem, por meio dolosos, fraude fiscal no recolhimento de tributos;</w:t>
      </w:r>
    </w:p>
    <w:p w:rsidR="00000000" w:rsidDel="00000000" w:rsidP="00000000" w:rsidRDefault="00000000" w:rsidRPr="00000000" w14:paraId="0000009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Tenham praticado atos ilícitos visando a frustrar os objetivos da licitação;</w:t>
      </w:r>
    </w:p>
    <w:p w:rsidR="00000000" w:rsidDel="00000000" w:rsidP="00000000" w:rsidRDefault="00000000" w:rsidRPr="00000000" w14:paraId="0000009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96">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9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98">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9">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sou entidades municipais, distritais ou estaduais a adesão a ata de registro de preços da Administração Pública Estadual.</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F">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9">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4">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SEJUS - SECRETARIA DE ESTADO DE JUSTIÇA</w:t>
      </w:r>
      <w:r w:rsidDel="00000000" w:rsidR="00000000" w:rsidRPr="00000000">
        <w:rPr>
          <w:rFonts w:ascii="Arial" w:cs="Arial" w:eastAsia="Arial" w:hAnsi="Arial"/>
          <w:sz w:val="16"/>
          <w:szCs w:val="16"/>
          <w:rtl w:val="0"/>
        </w:rPr>
        <w:tab/>
      </w:r>
    </w:p>
    <w:p w:rsidR="00000000" w:rsidDel="00000000" w:rsidP="00000000" w:rsidRDefault="00000000" w:rsidRPr="00000000" w14:paraId="000000C0">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1">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2">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7">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8">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D">
      <w:pPr>
        <w:ind w:right="47"/>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tl w:val="0"/>
        </w:rPr>
      </w:r>
    </w:p>
    <w:p w:rsidR="00000000" w:rsidDel="00000000" w:rsidP="00000000" w:rsidRDefault="00000000" w:rsidRPr="00000000" w14:paraId="000000CE">
      <w:pPr>
        <w:ind w:right="47"/>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color w:val="000000"/>
          <w:sz w:val="16"/>
          <w:szCs w:val="16"/>
          <w:rtl w:val="0"/>
        </w:rPr>
        <w:t xml:space="preserve">MÁRCIO ROGÉRIO GABRIEL</w:t>
        <w:tab/>
        <w:tab/>
        <w:t xml:space="preserve">             </w:t>
      </w:r>
      <w:r w:rsidDel="00000000" w:rsidR="00000000" w:rsidRPr="00000000">
        <w:rPr>
          <w:rFonts w:ascii="Arial" w:cs="Arial" w:eastAsia="Arial" w:hAnsi="Arial"/>
          <w:b w:val="1"/>
          <w:sz w:val="16"/>
          <w:szCs w:val="16"/>
          <w:rtl w:val="0"/>
        </w:rPr>
        <w:t xml:space="preserve">SUELEN TORRES DA SILVA</w:t>
      </w:r>
      <w:r w:rsidDel="00000000" w:rsidR="00000000" w:rsidRPr="00000000">
        <w:rPr>
          <w:rtl w:val="0"/>
        </w:rPr>
      </w:r>
    </w:p>
    <w:p w:rsidR="00000000" w:rsidDel="00000000" w:rsidP="00000000" w:rsidRDefault="00000000" w:rsidRPr="00000000" w14:paraId="000000CF">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 Interina</w:t>
      </w:r>
    </w:p>
    <w:p w:rsidR="00000000" w:rsidDel="00000000" w:rsidP="00000000" w:rsidRDefault="00000000" w:rsidRPr="00000000" w14:paraId="000000D0">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5">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o5bzHpjUbdOw4GPXSZjiDdU2cg==">AMUW2mXDQpuKgm0Urd97vu+t8XZavVuBqDQEtaEv/WhtUpSCTbP7KeuKiU7FrKa2a2bEmsuxcZv6QW7okGWyjxp/YxbBt9a3yhhUiOMKspyGcJLmzOaPox5VCgzdakqgi9qNJ5QUN3ob8g3U1tajRYwbVTuuPLr8fA==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