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301/2020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310/2020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0033.406305/2019-62</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materiais permanentes (mobiliário), para necessidades da Gerência de Saúde (GESAU) da Secretaria de Estado da Justiça-SEJUS</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materiais permanentes (mobiliário),  para necessidades da Gerência de Saúde (GESAU) da Secretaria de Estado da Justiça-SEJUS.</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b w:val="1"/>
          <w:sz w:val="16"/>
          <w:szCs w:val="16"/>
          <w:rtl w:val="0"/>
        </w:rPr>
        <w:t xml:space="preserve">no prazo máximo de 30 (trinta) dias a contar do recebimento da nota de empenho.</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na Central de Alternativas Penais -CIAP em Porto Velho - RO no endereço a combinar, e-mail: ciapsejusro@gmail.com, com horário de funcionamento das 07h30min ás 13h30min (com eventual alteração de horário) de segunda a sexta-feira, com acuse de recebimento, como nas formas habituais,</w:t>
      </w:r>
      <w:r w:rsidDel="00000000" w:rsidR="00000000" w:rsidRPr="00000000">
        <w:rPr>
          <w:rtl w:val="0"/>
        </w:rPr>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CONTRATADA da reparação dos eventuais danos, perdas ou prejuízos que seu ato punível venha causar à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9">
      <w:pPr>
        <w:numPr>
          <w:ilvl w:val="0"/>
          <w:numId w:val="1"/>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A">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B">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C">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D">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3E">
      <w:pPr>
        <w:numPr>
          <w:ilvl w:val="0"/>
          <w:numId w:val="1"/>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à terceiros.</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Para efeito de aplicação de multas, às infrações são atribuídos graus, com percentuais de multa  conforme a tabela a seguir, que elenca apenas as principais situações previstas, não eximindo de outras equivalentes que surgirem, conforme o caso: </w:t>
      </w:r>
    </w:p>
    <w:tbl>
      <w:tblPr>
        <w:tblStyle w:val="Table1"/>
        <w:tblW w:w="10941.511811023625"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542.0692187853294"/>
        <w:gridCol w:w="9066.71190146672"/>
        <w:gridCol w:w="552.4272293353677"/>
        <w:gridCol w:w="780.3034614362068"/>
        <w:tblGridChange w:id="0">
          <w:tblGrid>
            <w:gridCol w:w="542.0692187853294"/>
            <w:gridCol w:w="9066.71190146672"/>
            <w:gridCol w:w="552.4272293353677"/>
            <w:gridCol w:w="780.3034614362068"/>
          </w:tblGrid>
        </w:tblGridChange>
      </w:tblGrid>
      <w:tr>
        <w:trPr>
          <w:trHeight w:val="500" w:hRule="atLeast"/>
        </w:trPr>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casos contratuais por dia e por unidade de atendimento;</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fornecer o material, sem motivo justificado,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material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nos prazos estabelecidos, observados os limites mínimos estabelecidos por esse contrato; por serviço,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bl>
    <w:p w:rsidR="00000000" w:rsidDel="00000000" w:rsidP="00000000" w:rsidRDefault="00000000" w:rsidRPr="00000000" w14:paraId="0000007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multas incidirão sobre a parcela inadimplida do contrato. </w:t>
      </w:r>
    </w:p>
    <w:p w:rsidR="00000000" w:rsidDel="00000000" w:rsidP="00000000" w:rsidRDefault="00000000" w:rsidRPr="00000000" w14:paraId="0000007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sujeitas às penalidades de suspensão de licitar e impedimento de contratar com órgão contratante  e de declaração de inidoneidade, previstas nos subitens anteriores, as empresas ou profissionais que, em razão do contrato decorrente dessa licitação: </w:t>
      </w:r>
    </w:p>
    <w:p w:rsidR="00000000" w:rsidDel="00000000" w:rsidP="00000000" w:rsidRDefault="00000000" w:rsidRPr="00000000" w14:paraId="0000007D">
      <w:pPr>
        <w:numPr>
          <w:ilvl w:val="0"/>
          <w:numId w:val="2"/>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E">
      <w:pPr>
        <w:numPr>
          <w:ilvl w:val="0"/>
          <w:numId w:val="2"/>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7F">
      <w:pPr>
        <w:numPr>
          <w:ilvl w:val="0"/>
          <w:numId w:val="2"/>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 - </w:t>
      </w:r>
      <w:r w:rsidDel="00000000" w:rsidR="00000000" w:rsidRPr="00000000">
        <w:rPr>
          <w:rFonts w:ascii="Arial" w:cs="Arial" w:eastAsia="Arial" w:hAnsi="Arial"/>
          <w:sz w:val="16"/>
          <w:szCs w:val="16"/>
          <w:rtl w:val="0"/>
        </w:rPr>
        <w:t xml:space="preserve">Secretaria de Estado de Justiça.</w:t>
        <w:tab/>
        <w:tab/>
        <w:tab/>
      </w:r>
    </w:p>
    <w:p w:rsidR="00000000" w:rsidDel="00000000" w:rsidP="00000000" w:rsidRDefault="00000000" w:rsidRPr="00000000" w14:paraId="000000A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B">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E">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Z4viSuHCnsKNchXecgpHh3gelw==">AMUW2mUTJx1eOIDl8NZbTnsJ9Vfh6P5mwAPAERQcYUX4+zj/p2ukoKNpckhvJnvCOwxLrqP8zMxRG6W7V1CVhxgTMmkVW48BXN4VhimyWQbaObVXCaJ2e70ew3MdBZVW9JvqqEPjwxZiVy2P0U4EiFanzfhdgJn72w==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