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281/2020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499/2020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0026.491489/2019-47</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para futura e eventual </w:t>
      </w:r>
      <w:r w:rsidDel="00000000" w:rsidR="00000000" w:rsidRPr="00000000">
        <w:rPr>
          <w:rFonts w:ascii="Arial" w:cs="Arial" w:eastAsia="Arial" w:hAnsi="Arial"/>
          <w:sz w:val="16"/>
          <w:szCs w:val="16"/>
          <w:rtl w:val="0"/>
        </w:rPr>
        <w:t xml:space="preserve"> aquisição de material de limpeza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pedido da Secretaria de Estado da Assistência e do Desenvolvimento Social – SEAS,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w:t>
      </w:r>
      <w:r w:rsidDel="00000000" w:rsidR="00000000" w:rsidRPr="00000000">
        <w:rPr>
          <w:rFonts w:ascii="Arial" w:cs="Arial" w:eastAsia="Arial" w:hAnsi="Arial"/>
          <w:color w:val="000000"/>
          <w:sz w:val="16"/>
          <w:szCs w:val="16"/>
          <w:rtl w:val="0"/>
        </w:rPr>
        <w:t xml:space="preserve">para futura e eventual </w:t>
      </w:r>
      <w:r w:rsidDel="00000000" w:rsidR="00000000" w:rsidRPr="00000000">
        <w:rPr>
          <w:rFonts w:ascii="Arial" w:cs="Arial" w:eastAsia="Arial" w:hAnsi="Arial"/>
          <w:sz w:val="16"/>
          <w:szCs w:val="16"/>
          <w:rtl w:val="0"/>
        </w:rPr>
        <w:t xml:space="preserve"> aquisição de material de limpeza</w:t>
      </w:r>
      <w:r w:rsidDel="00000000" w:rsidR="00000000" w:rsidRPr="00000000">
        <w:rPr>
          <w:rFonts w:ascii="Arial" w:cs="Arial" w:eastAsia="Arial" w:hAnsi="Arial"/>
          <w:color w:val="000000"/>
          <w:sz w:val="16"/>
          <w:szCs w:val="16"/>
          <w:rtl w:val="0"/>
        </w:rPr>
        <w:t xml:space="preserve">, a pedido da Secretaria de Estado da Assistência e do Desenvolvimento Social – SEAS.</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:A entrega será PARCIAL, de acordo com as quantidades solicitadas pela Gerência de Patrimônio, feitas por requisição.</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6.3.1. Será de até 10 (dez) dias, contados a partir do recebimento pela Contratada da Ordem de Serviço ou da Nota de Empenho, o que ocorrer primeiro.</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Os materiais deverão ser entregues no Almoxarifado da Secretaria de Estado da Assistência e do Desenvolvimento Social, localizado na Rua Salgado Filho, nº 2395, Bairro São Cristóvão, em Porto Velho - RO - CEP: 76804-054, no período de Segunda a Sexta-Feira, no horário compreendido entre 07h30m e 13h30m, </w:t>
      </w:r>
      <w:r w:rsidDel="00000000" w:rsidR="00000000" w:rsidRPr="00000000">
        <w:rPr>
          <w:rFonts w:ascii="Arial" w:cs="Arial" w:eastAsia="Arial" w:hAnsi="Arial"/>
          <w:b w:val="1"/>
          <w:sz w:val="16"/>
          <w:szCs w:val="16"/>
          <w:u w:val="single"/>
          <w:rtl w:val="0"/>
        </w:rPr>
        <w:t xml:space="preserve">mediante prévio agendamento</w:t>
      </w:r>
      <w:r w:rsidDel="00000000" w:rsidR="00000000" w:rsidRPr="00000000">
        <w:rPr>
          <w:rFonts w:ascii="Arial" w:cs="Arial" w:eastAsia="Arial" w:hAnsi="Arial"/>
          <w:b w:val="1"/>
          <w:sz w:val="16"/>
          <w:szCs w:val="16"/>
          <w:rtl w:val="0"/>
        </w:rPr>
        <w:t xml:space="preserve"> junto à GEPA/SEAS, através do telefone (69)98482-9955.</w:t>
      </w: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Pela Inexecução total ou parcial do objeto, a SEAS poderá, garantida a prévia defesa, aplicar à empresa contratada as seguintes sanções:</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moratória será aplicada a partir do 1º dia útil da inadimplência, contado da data definida para o regular cumprimento da obrigação;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Multa de 10% (dez por cento) sobre o valor do produto não entregue, no caso de inexecução parcial, sem embargo de indenização dos prejuízos porventura causados a SEAS-RO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Multa de 10% (dez por cento) sobre o valor total do contrato, no caso de sua inexecução total, sem embargo de indenização dos prejuízos porventura causados SEAS-RO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 multa prevista nos subitens 9.1.2, 9.1.3 e 9.1.8 poderão ser aplicadas isoladas ou em conjunto com as previstas nos subitens 9.1.5 e 9.1.6;</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r w:rsidDel="00000000" w:rsidR="00000000" w:rsidRPr="00000000">
        <w:rPr>
          <w:rtl w:val="0"/>
        </w:rPr>
      </w:r>
    </w:p>
    <w:p w:rsidR="00000000" w:rsidDel="00000000" w:rsidP="00000000" w:rsidRDefault="00000000" w:rsidRPr="00000000" w14:paraId="00000042">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45">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6">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B">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4C">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C">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SEAS</w:t>
      </w:r>
      <w:r w:rsidDel="00000000" w:rsidR="00000000" w:rsidRPr="00000000">
        <w:rPr>
          <w:rFonts w:ascii="Arial" w:cs="Arial" w:eastAsia="Arial" w:hAnsi="Arial"/>
          <w:sz w:val="16"/>
          <w:szCs w:val="16"/>
          <w:rtl w:val="0"/>
        </w:rPr>
        <w:t xml:space="preserve"> – </w:t>
      </w:r>
      <w:r w:rsidDel="00000000" w:rsidR="00000000" w:rsidRPr="00000000">
        <w:rPr>
          <w:rFonts w:ascii="Arial" w:cs="Arial" w:eastAsia="Arial" w:hAnsi="Arial"/>
          <w:color w:val="000000"/>
          <w:sz w:val="16"/>
          <w:szCs w:val="16"/>
          <w:rtl w:val="0"/>
        </w:rPr>
        <w:t xml:space="preserve">Secretaria de Estado da Assistência e do Desenvolvimento Social.</w:t>
      </w:r>
    </w:p>
    <w:p w:rsidR="00000000" w:rsidDel="00000000" w:rsidP="00000000" w:rsidRDefault="00000000" w:rsidRPr="00000000" w14:paraId="0000006D">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6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7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7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7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E">
      <w:pPr>
        <w:ind w:right="47"/>
        <w:jc w:val="both"/>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FRA</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Mx7PFoFpx/eSQZaqdNKaJpfeA==">AMUW2mW0Q5BLaA/Llp+HW9+0u+ApxsnPUo7MQ9OUBlerJEDM6++g1KGkdamMpTWpq5RbLVdHMCsRjFGOCSs48rzJmU5exZBJaMEjNIqZuHQXbo+oflxWoZoGfuzzNe/63+6rJmXpaDzC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2019-12-30T12:07:00Z</dcterms:created>
  <dc:creator>SESAU</dc:creator>
</cp:coreProperties>
</file>