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261/2020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305/2020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0033.061619/2020-65</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eventual e futura aquisição Material de Consumo e Permanente para estruturação de oficinas produtivas permanentes a fim de atender as necessidades da Secretaria de Estado de Justiça – SEJUS/RO</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eventual e futura aquisição Material de Consumo e Permanente para estruturação de oficinas produtivas permanentes a fim de atender as necessidades da Secretaria de Estado de Justiça – SEJUS/RO</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Num prazo máximo de 01 (um) mês a contar do recebimento da nota de empenho.</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sz w:val="16"/>
          <w:szCs w:val="16"/>
          <w:rtl w:val="0"/>
        </w:rPr>
        <w:t xml:space="preserve">Os materiais deverão ser entregues no Almoxarifado Central do Governo, Rua Antônio Lacerda, 4138, Bairro Setor Industrial, com Horário de Funcionamento das 07h30min ás 13h 30min de segunda a sexta-feira, com acuse de recebimento, como nas formas habituais.</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000000" w:rsidDel="00000000" w:rsidP="00000000" w:rsidRDefault="00000000" w:rsidRPr="00000000" w14:paraId="0000003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000000" w:rsidDel="00000000" w:rsidP="00000000" w:rsidRDefault="00000000" w:rsidRPr="00000000" w14:paraId="0000003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000000" w:rsidDel="00000000" w:rsidP="00000000" w:rsidRDefault="00000000" w:rsidRPr="00000000" w14:paraId="0000003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9.8.1 Inexecução total ou parcial do contrato;</w:t>
      </w:r>
    </w:p>
    <w:p w:rsidR="00000000" w:rsidDel="00000000" w:rsidP="00000000" w:rsidRDefault="00000000" w:rsidRPr="00000000" w14:paraId="0000003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9.8.2 Apresentação de documentação falsa;</w:t>
      </w:r>
    </w:p>
    <w:p w:rsidR="00000000" w:rsidDel="00000000" w:rsidP="00000000" w:rsidRDefault="00000000" w:rsidRPr="00000000" w14:paraId="0000003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9.8.3 Comportamento inidôneo;</w:t>
      </w:r>
    </w:p>
    <w:p w:rsidR="00000000" w:rsidDel="00000000" w:rsidP="00000000" w:rsidRDefault="00000000" w:rsidRPr="00000000" w14:paraId="0000003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9.8.4 Fraude fiscal;</w:t>
      </w:r>
    </w:p>
    <w:p w:rsidR="00000000" w:rsidDel="00000000" w:rsidP="00000000" w:rsidRDefault="00000000" w:rsidRPr="00000000" w14:paraId="0000003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9.8.5 Descumprimento de qualquer dos deveres elencados no Edital ou no Contrato.</w:t>
      </w:r>
    </w:p>
    <w:p w:rsidR="00000000" w:rsidDel="00000000" w:rsidP="00000000" w:rsidRDefault="00000000" w:rsidRPr="00000000" w14:paraId="0000003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As sanções serão aplicadas sem prejuízo da responsabilidade civil e criminal que possa ser acionada em desfavor da Contratada, conforme infração cometida e prejuízos causados à administração ou à terceiros.</w:t>
      </w:r>
    </w:p>
    <w:p w:rsidR="00000000" w:rsidDel="00000000" w:rsidP="00000000" w:rsidRDefault="00000000" w:rsidRPr="00000000" w14:paraId="0000003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40">
      <w:pPr>
        <w:spacing w:after="0" w:before="0" w:lineRule="auto"/>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bl>
      <w:tblPr>
        <w:tblStyle w:val="Table1"/>
        <w:tblW w:w="1095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80"/>
        <w:gridCol w:w="7425"/>
        <w:gridCol w:w="1110"/>
        <w:gridCol w:w="1635"/>
        <w:tblGridChange w:id="0">
          <w:tblGrid>
            <w:gridCol w:w="780"/>
            <w:gridCol w:w="7425"/>
            <w:gridCol w:w="1110"/>
            <w:gridCol w:w="1635"/>
          </w:tblGrid>
        </w:tblGridChange>
      </w:tblGrid>
      <w:tr>
        <w:trPr>
          <w:trHeight w:val="375" w:hRule="atLeast"/>
        </w:trPr>
        <w:tc>
          <w:tcPr>
            <w:tcMar>
              <w:top w:w="100.0" w:type="dxa"/>
              <w:left w:w="100.0" w:type="dxa"/>
              <w:bottom w:w="100.0" w:type="dxa"/>
              <w:right w:w="100.0" w:type="dxa"/>
            </w:tcMar>
            <w:vAlign w:val="top"/>
          </w:tcPr>
          <w:p w:rsidR="00000000" w:rsidDel="00000000" w:rsidP="00000000" w:rsidRDefault="00000000" w:rsidRPr="00000000" w14:paraId="00000041">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2">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3">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4">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Multa*</w:t>
            </w:r>
          </w:p>
        </w:tc>
      </w:tr>
      <w:tr>
        <w:trPr>
          <w:trHeight w:val="105" w:hRule="atLeast"/>
        </w:trPr>
        <w:tc>
          <w:tcPr>
            <w:tcMar>
              <w:top w:w="100.0" w:type="dxa"/>
              <w:left w:w="100.0" w:type="dxa"/>
              <w:bottom w:w="100.0" w:type="dxa"/>
              <w:right w:w="100.0" w:type="dxa"/>
            </w:tcMar>
            <w:vAlign w:val="top"/>
          </w:tcPr>
          <w:p w:rsidR="00000000" w:rsidDel="00000000" w:rsidP="00000000" w:rsidRDefault="00000000" w:rsidRPr="00000000" w14:paraId="00000045">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6">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150" w:hRule="atLeast"/>
        </w:trPr>
        <w:tc>
          <w:tcPr>
            <w:tcMar>
              <w:top w:w="100.0" w:type="dxa"/>
              <w:left w:w="100.0" w:type="dxa"/>
              <w:bottom w:w="100.0" w:type="dxa"/>
              <w:right w:w="100.0" w:type="dxa"/>
            </w:tcMar>
            <w:vAlign w:val="top"/>
          </w:tcPr>
          <w:p w:rsidR="00000000" w:rsidDel="00000000" w:rsidP="00000000" w:rsidRDefault="00000000" w:rsidRPr="00000000" w14:paraId="00000049">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A">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quem teve acesso;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450"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E">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casos contratuais por dia e por unidade de atendimento;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135" w:hRule="atLeast"/>
        </w:trPr>
        <w:tc>
          <w:tcPr>
            <w:tcMar>
              <w:top w:w="100.0" w:type="dxa"/>
              <w:left w:w="100.0" w:type="dxa"/>
              <w:bottom w:w="100.0" w:type="dxa"/>
              <w:right w:w="100.0" w:type="dxa"/>
            </w:tcMar>
            <w:vAlign w:val="top"/>
          </w:tcPr>
          <w:p w:rsidR="00000000" w:rsidDel="00000000" w:rsidP="00000000" w:rsidRDefault="00000000" w:rsidRPr="00000000" w14:paraId="00000051">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2">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4">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75" w:hRule="atLeast"/>
        </w:trPr>
        <w:tc>
          <w:tcPr>
            <w:tcMar>
              <w:top w:w="100.0" w:type="dxa"/>
              <w:left w:w="100.0" w:type="dxa"/>
              <w:bottom w:w="100.0" w:type="dxa"/>
              <w:right w:w="100.0" w:type="dxa"/>
            </w:tcMar>
            <w:vAlign w:val="top"/>
          </w:tcPr>
          <w:p w:rsidR="00000000" w:rsidDel="00000000" w:rsidP="00000000" w:rsidRDefault="00000000" w:rsidRPr="00000000" w14:paraId="00000055">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serviço determinado pela FISCALIZAÇÃO,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8">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 por dia</w:t>
            </w:r>
          </w:p>
        </w:tc>
      </w:tr>
      <w:tr>
        <w:trPr>
          <w:trHeight w:val="345" w:hRule="atLeast"/>
        </w:trPr>
        <w:tc>
          <w:tcPr>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90" w:hRule="atLeast"/>
        </w:trPr>
        <w:tc>
          <w:tcPr>
            <w:gridSpan w:val="4"/>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os itens a seguir, deixar de:</w:t>
            </w:r>
          </w:p>
        </w:tc>
      </w:tr>
      <w:tr>
        <w:trPr>
          <w:trHeight w:val="5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2">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deste contrato; por dia e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a restauração do sistema e reposição de equipamentos danificados, por motivo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 por dia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execução de serviço nos prazos estabelecidos, observados os limites mínimos estabelecidos por esse contrato; por serviço,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31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Disponibilizar os equipamentos, sistema, estabelecimentos credenciados; em número mínimo, treinamento e suporte aos demais necessários à realização dos serviços do escopo do contrato;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2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A">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relatórios exigidos para o objeto, por tipo e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2">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3">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 por dia</w:t>
            </w:r>
          </w:p>
        </w:tc>
      </w:tr>
      <w:tr>
        <w:trPr>
          <w:trHeight w:val="2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Substituir funcionário que se conduza de modo inconveniente ou não atenda as necessidades do órgão, por funcionário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 por dia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9">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A">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por ocorrência,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C">
            <w:pPr>
              <w:spacing w:after="0" w:before="0" w:lineRule="auto"/>
              <w:ind w:left="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 por dia</w:t>
            </w:r>
          </w:p>
        </w:tc>
      </w:tr>
      <w:tr>
        <w:trPr>
          <w:trHeight w:val="405" w:hRule="atLeast"/>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8D">
            <w:pPr>
              <w:spacing w:after="0" w:before="0" w:lineRule="auto"/>
              <w:ind w:left="0" w:right="120" w:firstLine="0"/>
              <w:jc w:val="right"/>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 incidente sobre a parte inadimplida do contrato</w:t>
            </w:r>
          </w:p>
        </w:tc>
      </w:tr>
    </w:tbl>
    <w:p w:rsidR="00000000" w:rsidDel="00000000" w:rsidP="00000000" w:rsidRDefault="00000000" w:rsidRPr="00000000" w14:paraId="0000009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aqui previstas poderão ser aplicadas cumulativamente, facultada a defesa prévia do interessado, no respectivo processo, no prazo de 05 (cinco) dias úteis.</w:t>
      </w:r>
    </w:p>
    <w:p w:rsidR="00000000" w:rsidDel="00000000" w:rsidP="00000000" w:rsidRDefault="00000000" w:rsidRPr="00000000" w14:paraId="0000009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9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9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9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9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9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000000" w:rsidDel="00000000" w:rsidP="00000000" w:rsidRDefault="00000000" w:rsidRPr="00000000" w14:paraId="0000009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9.17.1 Tenham sofrido condenações definitivas por praticarem, por meio dolosos, fraude fiscal no recolhimento de tributos;</w:t>
      </w:r>
    </w:p>
    <w:p w:rsidR="00000000" w:rsidDel="00000000" w:rsidP="00000000" w:rsidRDefault="00000000" w:rsidRPr="00000000" w14:paraId="0000009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9.17.2 Tenham praticado atos ilícitos visando a frustrar os objetivos da licitação;</w:t>
      </w:r>
    </w:p>
    <w:p w:rsidR="00000000" w:rsidDel="00000000" w:rsidP="00000000" w:rsidRDefault="00000000" w:rsidRPr="00000000" w14:paraId="0000009B">
      <w:pPr>
        <w:spacing w:after="0" w:before="0" w:lineRule="auto"/>
        <w:ind w:left="0" w:right="120" w:firstLine="0"/>
        <w:jc w:val="both"/>
        <w:rPr>
          <w:rFonts w:ascii="Arial" w:cs="Arial" w:eastAsia="Arial" w:hAnsi="Arial"/>
          <w:sz w:val="16"/>
          <w:szCs w:val="16"/>
          <w:u w:val="single"/>
        </w:rPr>
      </w:pPr>
      <w:r w:rsidDel="00000000" w:rsidR="00000000" w:rsidRPr="00000000">
        <w:rPr>
          <w:rFonts w:ascii="Arial" w:cs="Arial" w:eastAsia="Arial" w:hAnsi="Arial"/>
          <w:sz w:val="16"/>
          <w:szCs w:val="16"/>
          <w:rtl w:val="0"/>
        </w:rPr>
        <w:t xml:space="preserve">9.17.3 </w:t>
      </w:r>
      <w:r w:rsidDel="00000000" w:rsidR="00000000" w:rsidRPr="00000000">
        <w:rPr>
          <w:rFonts w:ascii="Arial" w:cs="Arial" w:eastAsia="Arial" w:hAnsi="Arial"/>
          <w:sz w:val="16"/>
          <w:szCs w:val="16"/>
          <w:u w:val="single"/>
          <w:rtl w:val="0"/>
        </w:rPr>
        <w:t xml:space="preserve">Demonstrem não possuir idoneidade para contratar com a Administração em virtude de atos ilícitos praticados.</w:t>
      </w:r>
    </w:p>
    <w:p w:rsidR="00000000" w:rsidDel="00000000" w:rsidP="00000000" w:rsidRDefault="00000000" w:rsidRPr="00000000" w14:paraId="0000009C">
      <w:pPr>
        <w:spacing w:after="0" w:before="0" w:lineRule="auto"/>
        <w:ind w:left="0" w:right="120" w:firstLine="0"/>
        <w:jc w:val="both"/>
        <w:rPr>
          <w:rFonts w:ascii="Arial" w:cs="Arial" w:eastAsia="Arial" w:hAnsi="Arial"/>
          <w:sz w:val="16"/>
          <w:szCs w:val="16"/>
          <w:u w:val="single"/>
        </w:rPr>
      </w:pPr>
      <w:r w:rsidDel="00000000" w:rsidR="00000000" w:rsidRPr="00000000">
        <w:rPr>
          <w:rtl w:val="0"/>
        </w:rPr>
      </w:r>
    </w:p>
    <w:p w:rsidR="00000000" w:rsidDel="00000000" w:rsidP="00000000" w:rsidRDefault="00000000" w:rsidRPr="00000000" w14:paraId="0000009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9E">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F">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5">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F">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B">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B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SEJUS - </w:t>
      </w:r>
      <w:r w:rsidDel="00000000" w:rsidR="00000000" w:rsidRPr="00000000">
        <w:rPr>
          <w:rFonts w:ascii="Arial" w:cs="Arial" w:eastAsia="Arial" w:hAnsi="Arial"/>
          <w:sz w:val="16"/>
          <w:szCs w:val="16"/>
          <w:rtl w:val="0"/>
        </w:rPr>
        <w:t xml:space="preserve">Secretaria de Estado de Justiça.</w:t>
        <w:tab/>
        <w:tab/>
        <w:tab/>
      </w:r>
    </w:p>
    <w:p w:rsidR="00000000" w:rsidDel="00000000" w:rsidP="00000000" w:rsidRDefault="00000000" w:rsidRPr="00000000" w14:paraId="000000C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7">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C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3">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4">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5">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D6">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A">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DB">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RL</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FlglrYSpp3+pqJSLUnlIvmSs+A==">AMUW2mXBAl2mtmQmyGLP+PHsSIVWYMY1z52zCp56UX44ElNr5eutxwuphqRF4f3a2tanMwAQVlnEQlY1W/FBN2hKR3kkk3m1PvUBPahNLClvvSSl3OZKFklBAUBuQ+ZhGUineYub2deRiSgVe51gj0A+cZQt2am3/Q==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