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250/2020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295/2020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0038.064924/2020-69</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equipamentos de informática</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da SUPERINTENDÊNCIA ESTADUAL DO TURISMO - SETUR ,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equipamentos de informática, a pedido da SUPERINTENDÊNCIA ESTADUAL DO TURISMO - SETUR.</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 num prazo máximo de 30 (dez) dias a contar do recebimento da nota de empenho.</w:t>
      </w:r>
    </w:p>
    <w:p w:rsidR="00000000" w:rsidDel="00000000" w:rsidP="00000000" w:rsidRDefault="00000000" w:rsidRPr="00000000" w14:paraId="0000002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6.4.DO LOCAL DE ENTREGA: Os materiais deverão ser entregues no Almoxarifado Central do Governo de Rondônia, situado a Rua Antônio Lacerda, Nº 4138, bairro Industrial, Porto Velho – RO, com Horário de Funcionamento das 07h30min ás 13h30min de segunda a sexta-feira.</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numPr>
          <w:ilvl w:val="0"/>
          <w:numId w:val="1"/>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3B">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3C">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3D">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3E">
      <w:pPr>
        <w:numPr>
          <w:ilvl w:val="0"/>
          <w:numId w:val="1"/>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As sanções serão aplicadas sem prejuízo da responsabilidade civil e criminal que possa ser acionada em desfavor da CONTRATADA, conforme infração cometida e prejuízos causados à administração ou à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35"/>
        <w:gridCol w:w="6665"/>
        <w:gridCol w:w="965"/>
        <w:gridCol w:w="1190"/>
        <w:tblGridChange w:id="0">
          <w:tblGrid>
            <w:gridCol w:w="935"/>
            <w:gridCol w:w="6665"/>
            <w:gridCol w:w="965"/>
            <w:gridCol w:w="1190"/>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conseqüências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casos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fornecer o material,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material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755" w:hRule="atLeast"/>
        </w:trPr>
        <w:tc>
          <w:tcPr>
            <w:gridSpan w:val="4"/>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o fornecimento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 por dia</w:t>
            </w:r>
          </w:p>
        </w:tc>
      </w:tr>
    </w:tbl>
    <w:p w:rsidR="00000000" w:rsidDel="00000000" w:rsidP="00000000" w:rsidRDefault="00000000" w:rsidRPr="00000000" w14:paraId="0000007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As multas incidirão sobre a parcela inadimplida do contrato.</w:t>
      </w:r>
    </w:p>
    <w:p w:rsidR="00000000" w:rsidDel="00000000" w:rsidP="00000000" w:rsidRDefault="00000000" w:rsidRPr="00000000" w14:paraId="0000007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7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7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000000" w:rsidDel="00000000" w:rsidP="00000000" w:rsidRDefault="00000000" w:rsidRPr="00000000" w14:paraId="0000007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Tenham sofrido condenações definitivas por praticarem, por meio dolosos, fraude fiscal no recolhimento de tributos;</w:t>
      </w:r>
    </w:p>
    <w:p w:rsidR="00000000" w:rsidDel="00000000" w:rsidP="00000000" w:rsidRDefault="00000000" w:rsidRPr="00000000" w14:paraId="0000007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Tenham praticado atos ilícitos visando a frustrar os objetivos da licitação;</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Demonstrem não possuir idoneidade para contratar com a Administração em virtude de atos ilícitos praticados.</w:t>
      </w:r>
    </w:p>
    <w:p w:rsidR="00000000" w:rsidDel="00000000" w:rsidP="00000000" w:rsidRDefault="00000000" w:rsidRPr="00000000" w14:paraId="00000080">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82">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8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A9">
      <w:pPr>
        <w:ind w:right="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SETUR  - SUPERINTENDÊNCIA ESTADUAL DO TURISMO </w:t>
      </w:r>
    </w:p>
    <w:p w:rsidR="00000000" w:rsidDel="00000000" w:rsidP="00000000" w:rsidRDefault="00000000" w:rsidRPr="00000000" w14:paraId="000000AA">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AB">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B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FRA</w:t>
      </w:r>
      <w:r w:rsidDel="00000000" w:rsidR="00000000" w:rsidRPr="00000000">
        <w:rPr>
          <w:rFonts w:ascii="Arial" w:cs="Arial" w:eastAsia="Arial" w:hAnsi="Arial"/>
          <w:b w:val="1"/>
          <w:color w:val="000000"/>
          <w:sz w:val="16"/>
          <w:szCs w:val="16"/>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6oK1XzYcgWoVRPxK4QB6xGI1PQ==">AMUW2mUzofn50rEJvnIB2rK9++pG03rwYYJ1wTn8+YB+1LTrFzdLYEAtvREpn7w2GQJkzLFmZgSPTKMcs2UNPp+JCCnK2GY/pTqng4Me96AXN1o9+HIMcGvsLu7Y9gPs0MQ60GwanqYUi53ROaKhmmf7L0+bmfIPDQ==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