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drawing>
          <wp:inline distB="0" distT="0" distL="0" distR="0">
            <wp:extent cx="1995170" cy="846455"/>
            <wp:effectExtent b="0" l="0" r="0" t="0"/>
            <wp:docPr descr="C:\Users\835120~1\AppData\Local\Temp\Rar$DRa0.613\Marca-2015-Horizontal.png" id="2"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6">
      <w:pPr>
        <w:jc w:val="both"/>
        <w:rPr>
          <w:rFonts w:ascii="Arial" w:cs="Arial" w:eastAsia="Arial" w:hAnsi="Arial"/>
          <w:b w:val="1"/>
          <w:sz w:val="16"/>
          <w:szCs w:val="16"/>
          <w:u w:val="single"/>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245/2020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244/2019</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0049.100266/2019-13</w:t>
      </w:r>
    </w:p>
    <w:p w:rsidR="00000000" w:rsidDel="00000000" w:rsidP="00000000" w:rsidRDefault="00000000" w:rsidRPr="00000000" w14:paraId="0000000A">
      <w:pPr>
        <w:jc w:val="both"/>
        <w:rPr>
          <w:rFonts w:ascii="Arial" w:cs="Arial" w:eastAsia="Arial" w:hAnsi="Arial"/>
          <w:color w:val="ff0000"/>
          <w:sz w:val="16"/>
          <w:szCs w:val="16"/>
        </w:rPr>
      </w:pPr>
      <w:r w:rsidDel="00000000" w:rsidR="00000000" w:rsidRPr="00000000">
        <w:rPr>
          <w:rtl w:val="0"/>
        </w:rPr>
      </w:r>
    </w:p>
    <w:p w:rsidR="00000000" w:rsidDel="00000000" w:rsidP="00000000" w:rsidRDefault="00000000" w:rsidRPr="00000000" w14:paraId="0000000B">
      <w:pPr>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ESTADO DE RONDÔNIA,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sz w:val="16"/>
          <w:szCs w:val="16"/>
          <w:rtl w:val="0"/>
        </w:rPr>
        <w:t xml:space="preserve">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PREÇO </w:t>
      </w:r>
      <w:r w:rsidDel="00000000" w:rsidR="00000000" w:rsidRPr="00000000">
        <w:rPr>
          <w:rFonts w:ascii="Arial" w:cs="Arial" w:eastAsia="Arial" w:hAnsi="Arial"/>
          <w:sz w:val="16"/>
          <w:szCs w:val="16"/>
          <w:rtl w:val="0"/>
        </w:rPr>
        <w:t xml:space="preserve">para futura e eventual aquisição de aviamentos para costura e tintas, visando atender ao Setor de Lavanderia e Costura do Hospital de Base Dr. Ary Pinheiro - HB</w:t>
      </w:r>
      <w:r w:rsidDel="00000000" w:rsidR="00000000" w:rsidRPr="00000000">
        <w:rPr>
          <w:rFonts w:ascii="Arial" w:cs="Arial" w:eastAsia="Arial" w:hAnsi="Arial"/>
          <w:color w:val="000000"/>
          <w:sz w:val="16"/>
          <w:szCs w:val="16"/>
          <w:rtl w:val="0"/>
        </w:rPr>
        <w:t xml:space="preserve">, a pedido da Secretaria de Estado da Saúde de Rondônia/SESAU/RO</w:t>
      </w:r>
      <w:r w:rsidDel="00000000" w:rsidR="00000000" w:rsidRPr="00000000">
        <w:rPr>
          <w:rFonts w:ascii="Arial" w:cs="Arial" w:eastAsia="Arial" w:hAnsi="Arial"/>
          <w:sz w:val="16"/>
          <w:szCs w:val="16"/>
          <w:rtl w:val="0"/>
        </w:rPr>
        <w:t xml:space="preserve">,</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Para  futura e eventual aquisição de aviamentos para costura e tintas, visando atender ao Setor de Lavanderia e Costura do Hospital de Base Dr. Ary Pinheiro - HB</w:t>
      </w:r>
      <w:r w:rsidDel="00000000" w:rsidR="00000000" w:rsidRPr="00000000">
        <w:rPr>
          <w:rFonts w:ascii="Arial" w:cs="Arial" w:eastAsia="Arial" w:hAnsi="Arial"/>
          <w:color w:val="000000"/>
          <w:sz w:val="16"/>
          <w:szCs w:val="16"/>
          <w:rtl w:val="0"/>
        </w:rPr>
        <w:t xml:space="preserve">, a pedido da Secretaria de Estado da Saúde de Rondônia/SESAU/RO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0F">
      <w:pPr>
        <w:tabs>
          <w:tab w:val="left" w:pos="2707"/>
        </w:tabs>
        <w:ind w:right="0"/>
        <w:jc w:val="both"/>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LOCAL DE ENTREGA </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PRAZO DE ENTREGA:</w:t>
      </w:r>
      <w:r w:rsidDel="00000000" w:rsidR="00000000" w:rsidRPr="00000000">
        <w:rPr>
          <w:rFonts w:ascii="Arial" w:cs="Arial" w:eastAsia="Arial" w:hAnsi="Arial"/>
          <w:sz w:val="16"/>
          <w:szCs w:val="16"/>
          <w:rtl w:val="0"/>
        </w:rPr>
        <w:t xml:space="preserve"> A entrega deverá ocorrer conforme solicitação da Unidade de Saúde com definição da quantidade, no prazo máximo de 30 (trinta) dias corridos, após o recebimento da nota de empenho ou assinatura do contrato de fornecimento;</w:t>
      </w: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 DO LOCAL DE ENTREGA:</w:t>
      </w:r>
      <w:r w:rsidDel="00000000" w:rsidR="00000000" w:rsidRPr="00000000">
        <w:rPr>
          <w:rFonts w:ascii="Arial" w:cs="Arial" w:eastAsia="Arial" w:hAnsi="Arial"/>
          <w:b w:val="1"/>
          <w:sz w:val="16"/>
          <w:szCs w:val="16"/>
          <w:rtl w:val="0"/>
        </w:rPr>
        <w:t xml:space="preserve"> Os materiais deverão ser entregues na da Coordenadoria de Almoxarifado e Patrimônio - SESAU-CAP: Av. Rio Madeira, 603 - Bairro Lagoa – Porto Velho/RO – CEP: 76.820.025. Os dias de funcionamento são de segunda a sexta – feira, sendo de 07h30min às 13h30min</w:t>
      </w:r>
      <w:r w:rsidDel="00000000" w:rsidR="00000000" w:rsidRPr="00000000">
        <w:rPr>
          <w:rtl w:val="0"/>
        </w:rPr>
      </w:r>
    </w:p>
    <w:p w:rsidR="00000000" w:rsidDel="00000000" w:rsidP="00000000" w:rsidRDefault="00000000" w:rsidRPr="00000000" w14:paraId="00000026">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 Para efeito de aplicação de multas, às infrações são atribuídos graus, com percentuais de multa conforme a tabela a seguir, que elenca apenas as principais situações previstas, não eximindo de outras equivalentes que surgirem, conforme o caso:</w:t>
      </w:r>
    </w:p>
    <w:tbl>
      <w:tblPr>
        <w:tblStyle w:val="Table1"/>
        <w:tblW w:w="974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815"/>
        <w:gridCol w:w="6935"/>
        <w:gridCol w:w="890"/>
        <w:gridCol w:w="1100"/>
        <w:tblGridChange w:id="0">
          <w:tblGrid>
            <w:gridCol w:w="815"/>
            <w:gridCol w:w="6935"/>
            <w:gridCol w:w="890"/>
            <w:gridCol w:w="1100"/>
          </w:tblGrid>
        </w:tblGridChange>
      </w:tblGrid>
      <w:tr>
        <w:trPr>
          <w:trHeight w:val="500" w:hRule="atLeast"/>
        </w:trPr>
        <w:tc>
          <w:tcPr>
            <w:tcMar>
              <w:top w:w="100.0" w:type="dxa"/>
              <w:left w:w="100.0" w:type="dxa"/>
              <w:bottom w:w="100.0" w:type="dxa"/>
              <w:right w:w="100.0" w:type="dxa"/>
            </w:tcMar>
            <w:vAlign w:val="top"/>
          </w:tcPr>
          <w:p w:rsidR="00000000" w:rsidDel="00000000" w:rsidP="00000000" w:rsidRDefault="00000000" w:rsidRPr="00000000" w14:paraId="00000033">
            <w:pPr>
              <w:ind w:left="60" w:right="6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34">
            <w:pPr>
              <w:ind w:left="60" w:right="6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35">
            <w:pPr>
              <w:ind w:left="60" w:right="6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36">
            <w:pPr>
              <w:ind w:left="60" w:right="6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37">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38">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39">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3A">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4,0%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3B">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3C">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3D">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3E">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4,0%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3F">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40">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os serviços contratuais por dia e por unidade de atendimento;</w:t>
            </w:r>
          </w:p>
        </w:tc>
        <w:tc>
          <w:tcPr>
            <w:tcMar>
              <w:top w:w="100.0" w:type="dxa"/>
              <w:left w:w="100.0" w:type="dxa"/>
              <w:bottom w:w="100.0" w:type="dxa"/>
              <w:right w:w="100.0" w:type="dxa"/>
            </w:tcMar>
            <w:vAlign w:val="top"/>
          </w:tcPr>
          <w:p w:rsidR="00000000" w:rsidDel="00000000" w:rsidP="00000000" w:rsidRDefault="00000000" w:rsidRPr="00000000" w14:paraId="00000041">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42">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43">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44">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45">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46">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47">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48">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Recusar-se a executar serviço determinado pela FISCALIZAÇÃO, sem motivo justificado; por ocorrência;</w:t>
            </w:r>
          </w:p>
        </w:tc>
        <w:tc>
          <w:tcPr>
            <w:tcMar>
              <w:top w:w="100.0" w:type="dxa"/>
              <w:left w:w="100.0" w:type="dxa"/>
              <w:bottom w:w="100.0" w:type="dxa"/>
              <w:right w:w="100.0" w:type="dxa"/>
            </w:tcMar>
            <w:vAlign w:val="top"/>
          </w:tcPr>
          <w:p w:rsidR="00000000" w:rsidDel="00000000" w:rsidP="00000000" w:rsidRDefault="00000000" w:rsidRPr="00000000" w14:paraId="00000049">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tcMar>
              <w:top w:w="100.0" w:type="dxa"/>
              <w:left w:w="100.0" w:type="dxa"/>
              <w:bottom w:w="100.0" w:type="dxa"/>
              <w:right w:w="100.0" w:type="dxa"/>
            </w:tcMar>
            <w:vAlign w:val="top"/>
          </w:tcPr>
          <w:p w:rsidR="00000000" w:rsidDel="00000000" w:rsidP="00000000" w:rsidRDefault="00000000" w:rsidRPr="00000000" w14:paraId="0000004A">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1,6%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4B">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4C">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Executar serviço incompleto, paliativo substitutivo como por caráter permanente,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4D">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4E">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4F">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7.</w:t>
            </w:r>
          </w:p>
        </w:tc>
        <w:tc>
          <w:tcPr>
            <w:tcMar>
              <w:top w:w="100.0" w:type="dxa"/>
              <w:left w:w="100.0" w:type="dxa"/>
              <w:bottom w:w="100.0" w:type="dxa"/>
              <w:right w:w="100.0" w:type="dxa"/>
            </w:tcMar>
            <w:vAlign w:val="top"/>
          </w:tcPr>
          <w:p w:rsidR="00000000" w:rsidDel="00000000" w:rsidP="00000000" w:rsidRDefault="00000000" w:rsidRPr="00000000" w14:paraId="00000050">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Fornecer informação pérfida de serviço;</w:t>
            </w:r>
          </w:p>
        </w:tc>
        <w:tc>
          <w:tcPr>
            <w:tcMar>
              <w:top w:w="100.0" w:type="dxa"/>
              <w:left w:w="100.0" w:type="dxa"/>
              <w:bottom w:w="100.0" w:type="dxa"/>
              <w:right w:w="100.0" w:type="dxa"/>
            </w:tcMar>
            <w:vAlign w:val="top"/>
          </w:tcPr>
          <w:p w:rsidR="00000000" w:rsidDel="00000000" w:rsidP="00000000" w:rsidRDefault="00000000" w:rsidRPr="00000000" w14:paraId="00000051">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2">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53">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8.</w:t>
            </w:r>
          </w:p>
        </w:tc>
        <w:tc>
          <w:tcPr>
            <w:tcMar>
              <w:top w:w="100.0" w:type="dxa"/>
              <w:left w:w="100.0" w:type="dxa"/>
              <w:bottom w:w="100.0" w:type="dxa"/>
              <w:right w:w="100.0" w:type="dxa"/>
            </w:tcMar>
            <w:vAlign w:val="top"/>
          </w:tcPr>
          <w:p w:rsidR="00000000" w:rsidDel="00000000" w:rsidP="00000000" w:rsidRDefault="00000000" w:rsidRPr="00000000" w14:paraId="00000054">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Manter credenciamento ou descredenciamento de estabelecimento sem a anuência prévia do Gestor do Contrato, por ocorrência(s);</w:t>
            </w:r>
          </w:p>
        </w:tc>
        <w:tc>
          <w:tcPr>
            <w:tcMar>
              <w:top w:w="100.0" w:type="dxa"/>
              <w:left w:w="100.0" w:type="dxa"/>
              <w:bottom w:w="100.0" w:type="dxa"/>
              <w:right w:w="100.0" w:type="dxa"/>
            </w:tcMar>
            <w:vAlign w:val="top"/>
          </w:tcPr>
          <w:p w:rsidR="00000000" w:rsidDel="00000000" w:rsidP="00000000" w:rsidRDefault="00000000" w:rsidRPr="00000000" w14:paraId="00000055">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tcMar>
              <w:top w:w="100.0" w:type="dxa"/>
              <w:left w:w="100.0" w:type="dxa"/>
              <w:bottom w:w="100.0" w:type="dxa"/>
              <w:right w:w="100.0" w:type="dxa"/>
            </w:tcMar>
            <w:vAlign w:val="top"/>
          </w:tcPr>
          <w:p w:rsidR="00000000" w:rsidDel="00000000" w:rsidP="00000000" w:rsidRDefault="00000000" w:rsidRPr="00000000" w14:paraId="00000056">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57">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9.</w:t>
            </w:r>
          </w:p>
        </w:tc>
        <w:tc>
          <w:tcPr>
            <w:tcMar>
              <w:top w:w="100.0" w:type="dxa"/>
              <w:left w:w="100.0" w:type="dxa"/>
              <w:bottom w:w="100.0" w:type="dxa"/>
              <w:right w:w="100.0" w:type="dxa"/>
            </w:tcMar>
            <w:vAlign w:val="top"/>
          </w:tcPr>
          <w:p w:rsidR="00000000" w:rsidDel="00000000" w:rsidP="00000000" w:rsidRDefault="00000000" w:rsidRPr="00000000" w14:paraId="00000058">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Tratar de maneira diferenciada os estabelecimentos credenciados por si, dos motivados por conta própria ou encaminhados pelo Gestor do Contrato, por ocorrência(s) e por estabelecimento;</w:t>
            </w:r>
          </w:p>
        </w:tc>
        <w:tc>
          <w:tcPr>
            <w:tcMar>
              <w:top w:w="100.0" w:type="dxa"/>
              <w:left w:w="100.0" w:type="dxa"/>
              <w:bottom w:w="100.0" w:type="dxa"/>
              <w:right w:w="100.0" w:type="dxa"/>
            </w:tcMar>
            <w:vAlign w:val="top"/>
          </w:tcPr>
          <w:p w:rsidR="00000000" w:rsidDel="00000000" w:rsidP="00000000" w:rsidRDefault="00000000" w:rsidRPr="00000000" w14:paraId="00000059">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tcMar>
              <w:top w:w="100.0" w:type="dxa"/>
              <w:left w:w="100.0" w:type="dxa"/>
              <w:bottom w:w="100.0" w:type="dxa"/>
              <w:right w:w="100.0" w:type="dxa"/>
            </w:tcMar>
            <w:vAlign w:val="top"/>
          </w:tcPr>
          <w:p w:rsidR="00000000" w:rsidDel="00000000" w:rsidP="00000000" w:rsidRDefault="00000000" w:rsidRPr="00000000" w14:paraId="0000005A">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r>
        <w:trPr>
          <w:trHeight w:val="500" w:hRule="atLeast"/>
        </w:trPr>
        <w:tc>
          <w:tcPr>
            <w:gridSpan w:val="4"/>
            <w:tcMar>
              <w:top w:w="100.0" w:type="dxa"/>
              <w:left w:w="100.0" w:type="dxa"/>
              <w:bottom w:w="100.0" w:type="dxa"/>
              <w:right w:w="100.0" w:type="dxa"/>
            </w:tcMar>
            <w:vAlign w:val="top"/>
          </w:tcPr>
          <w:p w:rsidR="00000000" w:rsidDel="00000000" w:rsidP="00000000" w:rsidRDefault="00000000" w:rsidRPr="00000000" w14:paraId="0000005B">
            <w:pPr>
              <w:ind w:left="60" w:right="6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Efetuar o pagamento da contratada no prazo estipulado; por dia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4,0%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Efetuar o pagamento de seguros, encargos fiscais e sociais, assim como quaisquer despesas diretas e/ou indiretas relacionadas à execução deste contrato; por dia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Efetuar a restauração do sistema e reposição de equipamentos danificados, por motivo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1,6%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B">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seus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F">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3">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Iniciar execução de serviço nos prazos estabelecidos, observados os limites mínimos estabelecidos por este Contrato; por serviço,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Disponibilizar os equipamentos, sistema, estabelecimentos credenciados, em numero mínimo, treinamento, suporte e demais necessários à realização dos serviços do escopo do contrato;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B">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Ressarcir o órgão por eventuais danos causados por sua culpa, em veículos, equipamentos, dados, etc;</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F">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Fornecer as senhas e relatórios exigidos para o objeto, por tipo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3">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19.</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Fiscalizar e controlar, diariamente, a atuação da rede credenciada, por estabelecimento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7">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Credenciar estabelecimento por proposta própria ou encaminhada pelo Gestor do Contrato, por ocorrência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B">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22.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Substituir funcionário que se conduza de modo inconveniente ou não atenda às necessidades do Órgão, por funcionário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3">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Fornecer suporte técnico à Contratante e à rede credenciada, por ocorrência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bl>
    <w:p w:rsidR="00000000" w:rsidDel="00000000" w:rsidP="00000000" w:rsidRDefault="00000000" w:rsidRPr="00000000" w14:paraId="0000009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Incidente sobre a parte inadimplida do contrato.</w:t>
      </w:r>
    </w:p>
    <w:p w:rsidR="00000000" w:rsidDel="00000000" w:rsidP="00000000" w:rsidRDefault="00000000" w:rsidRPr="00000000" w14:paraId="0000009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000000" w:rsidDel="00000000" w:rsidP="00000000" w:rsidRDefault="00000000" w:rsidRPr="00000000" w14:paraId="0000009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9.3.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000000" w:rsidDel="00000000" w:rsidP="00000000" w:rsidRDefault="00000000" w:rsidRPr="00000000" w14:paraId="0000009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9.4. Advertência, sempre que for constatada irregularidade de pouca gravidade, para as quais tenha a Contratada concorrida diretamente, ocorrência que será registrada no Cadastro de Fornecedores do Estado de Rondônia;</w:t>
      </w:r>
    </w:p>
    <w:p w:rsidR="00000000" w:rsidDel="00000000" w:rsidP="00000000" w:rsidRDefault="00000000" w:rsidRPr="00000000" w14:paraId="0000009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9.5. Multa de 0,2% (dois décimos por cento) ao dia, por atraso no fornecimento e por entrega em desacordo com as especificações estabelecidas neste Edital, até o décimo dia corrido;</w:t>
      </w:r>
    </w:p>
    <w:p w:rsidR="00000000" w:rsidDel="00000000" w:rsidP="00000000" w:rsidRDefault="00000000" w:rsidRPr="00000000" w14:paraId="0000009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9.6. Multa de 10% (dez por cento), na hipótese de inexecução parcial ou total de cada Nota de Empenho, calculada sobre o valor total da inadimplência ou na hipótese do não cumprimento de qualquer das obrigações assumidas;</w:t>
      </w:r>
    </w:p>
    <w:p w:rsidR="00000000" w:rsidDel="00000000" w:rsidP="00000000" w:rsidRDefault="00000000" w:rsidRPr="00000000" w14:paraId="0000009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9.7. As multas serão, após regular processo administrativo, descontadas dos créditos da empresa detentora da Ata ou, se for o caso, cobrada administrativa ou judicialmente.</w:t>
      </w:r>
    </w:p>
    <w:p w:rsidR="00000000" w:rsidDel="00000000" w:rsidP="00000000" w:rsidRDefault="00000000" w:rsidRPr="00000000" w14:paraId="0000009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9.8. As penalidades previstas neste item têm caráter de sanção administrativa, consequentemente, a sua aplicação não exime a empresa detentora da Ata da reparação das eventuais perdas e danos que seu ato venha acarretar ao Estado de Rondônia.</w:t>
      </w:r>
    </w:p>
    <w:p w:rsidR="00000000" w:rsidDel="00000000" w:rsidP="00000000" w:rsidRDefault="00000000" w:rsidRPr="00000000" w14:paraId="0000009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9.9. As penalidades são independentes e a aplicação de uma não exclui a das demais, quando cabíveis.</w:t>
      </w:r>
    </w:p>
    <w:p w:rsidR="00000000" w:rsidDel="00000000" w:rsidP="00000000" w:rsidRDefault="00000000" w:rsidRPr="00000000" w14:paraId="000000A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9.10. Na hipótese de apresentar documentação inverossímil ou de cometer fraude, o licitante poderá sofrer, sem prejuízo da comunicação do ocorrido ao Ministério Público, quaisquer das sanções adiante previstas, que poderão ser aplicadas cumulativamente:</w:t>
      </w:r>
    </w:p>
    <w:p w:rsidR="00000000" w:rsidDel="00000000" w:rsidP="00000000" w:rsidRDefault="00000000" w:rsidRPr="00000000" w14:paraId="000000A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 Desclassificação, se a seleção se encontrar em fase de julgamento;</w:t>
      </w:r>
    </w:p>
    <w:p w:rsidR="00000000" w:rsidDel="00000000" w:rsidP="00000000" w:rsidRDefault="00000000" w:rsidRPr="00000000" w14:paraId="000000A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9.12. Cancelamento do preço registrado, procedendo-se à paralisação do fornecimento.</w:t>
      </w:r>
    </w:p>
    <w:p w:rsidR="00000000" w:rsidDel="00000000" w:rsidP="00000000" w:rsidRDefault="00000000" w:rsidRPr="00000000" w14:paraId="000000A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9.13. O preço registrado poderá ser cancelado pela Administração Pública, nos termos do Artigo 24 e 25 do Decreto 18.340/13, quando:</w:t>
      </w:r>
    </w:p>
    <w:p w:rsidR="00000000" w:rsidDel="00000000" w:rsidP="00000000" w:rsidRDefault="00000000" w:rsidRPr="00000000" w14:paraId="000000A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9.14. A Detentora do Registro de Preço deixar de cumprir total ou parcial as condições da Ata de Registro de Preços.</w:t>
      </w:r>
    </w:p>
    <w:p w:rsidR="00000000" w:rsidDel="00000000" w:rsidP="00000000" w:rsidRDefault="00000000" w:rsidRPr="00000000" w14:paraId="000000A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9.15. A Detentora do Registro de Preço não retirar a nota de empenho ou instrumento equivalente no prazo estabelecido, sem justificativa aceita pela Administração;</w:t>
      </w:r>
    </w:p>
    <w:p w:rsidR="00000000" w:rsidDel="00000000" w:rsidP="00000000" w:rsidRDefault="00000000" w:rsidRPr="00000000" w14:paraId="000000A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9.16. A detentora incorrer reiteradamente em infrações previstas no Edital;</w:t>
      </w:r>
    </w:p>
    <w:p w:rsidR="00000000" w:rsidDel="00000000" w:rsidP="00000000" w:rsidRDefault="00000000" w:rsidRPr="00000000" w14:paraId="000000A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9.17. A Detentora do Registro de Preço que praticar atos fraudulentos no intuito de auferir vantagem ilícita;</w:t>
      </w:r>
    </w:p>
    <w:p w:rsidR="00000000" w:rsidDel="00000000" w:rsidP="00000000" w:rsidRDefault="00000000" w:rsidRPr="00000000" w14:paraId="000000A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9.18. Não aceitar reduzir o seu preço registrado, na hipótese deste se tornar superior àqueles praticados no mercador ou sofrer sanção prevista nos incisos III ou IV do caput  do artigo 87 da Lei 8.666/93 ou no artigo 7º da Lei 10.520/02.</w:t>
      </w:r>
    </w:p>
    <w:p w:rsidR="00000000" w:rsidDel="00000000" w:rsidP="00000000" w:rsidRDefault="00000000" w:rsidRPr="00000000" w14:paraId="000000A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9.19.Por razões de interesse público, mediante despacho motivado, devidamente justificado.</w:t>
      </w:r>
    </w:p>
    <w:p w:rsidR="00000000" w:rsidDel="00000000" w:rsidP="00000000" w:rsidRDefault="00000000" w:rsidRPr="00000000" w14:paraId="000000A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9.20. O cancelamento do Registro de Preço nas hipóteses nos sub itens 9.10.1, 9.10.2, 9.10.5 será formalizado por despacho do órgão gerenciador, assegurado o contraditório e a ampla defesa.</w:t>
      </w:r>
    </w:p>
    <w:p w:rsidR="00000000" w:rsidDel="00000000" w:rsidP="00000000" w:rsidRDefault="00000000" w:rsidRPr="00000000" w14:paraId="000000A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9.21. O cancelamento do Registro de Preço nas hipóteses dos sub itens 9.10.1 e 9.10.2 acarretará ainda a aplicação das penalidades cabíveis, assegurado o contraditório e a ampla defesa.</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O cancelamento do Registro de Preços poderá ocorrer por fato superveniente, decorrente de caso fortuito ou força maior, que prejudique o cumprimento da ata, devidamente comprovados e justificados: </w:t>
      </w:r>
    </w:p>
    <w:p w:rsidR="00000000" w:rsidDel="00000000" w:rsidP="00000000" w:rsidRDefault="00000000" w:rsidRPr="00000000" w14:paraId="000000A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a)</w:t>
      </w:r>
      <w:r w:rsidDel="00000000" w:rsidR="00000000" w:rsidRPr="00000000">
        <w:rPr>
          <w:rFonts w:ascii="Arial" w:cs="Arial" w:eastAsia="Arial" w:hAnsi="Arial"/>
          <w:sz w:val="16"/>
          <w:szCs w:val="16"/>
          <w:rtl w:val="0"/>
        </w:rPr>
        <w:t xml:space="preserve"> Por razões de interesse público ou;</w:t>
      </w:r>
    </w:p>
    <w:p w:rsidR="00000000" w:rsidDel="00000000" w:rsidP="00000000" w:rsidRDefault="00000000" w:rsidRPr="00000000" w14:paraId="000000A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w:t>
      </w:r>
      <w:r w:rsidDel="00000000" w:rsidR="00000000" w:rsidRPr="00000000">
        <w:rPr>
          <w:rFonts w:ascii="Arial" w:cs="Arial" w:eastAsia="Arial" w:hAnsi="Arial"/>
          <w:sz w:val="16"/>
          <w:szCs w:val="16"/>
          <w:rtl w:val="0"/>
        </w:rPr>
        <w:t xml:space="preserve"> A pedido do fornecedor.</w:t>
      </w:r>
      <w:r w:rsidDel="00000000" w:rsidR="00000000" w:rsidRPr="00000000">
        <w:rPr>
          <w:rtl w:val="0"/>
        </w:rPr>
      </w:r>
    </w:p>
    <w:p w:rsidR="00000000" w:rsidDel="00000000" w:rsidP="00000000" w:rsidRDefault="00000000" w:rsidRPr="00000000" w14:paraId="000000AE">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AF">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B0">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B1">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B5">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B6">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7">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1">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C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C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C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C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C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C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C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C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CC">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C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CE">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C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D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D1">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D2">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D3">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SESAU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Secretaria de Estado da Saúde de Rondônia.</w:t>
      </w:r>
    </w:p>
    <w:p w:rsidR="00000000" w:rsidDel="00000000" w:rsidP="00000000" w:rsidRDefault="00000000" w:rsidRPr="00000000" w14:paraId="000000D8">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D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DA">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DB">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D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D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DE">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F">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E0">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E1">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E2">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E3">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E4">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E5">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E6">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E7">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E8">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E9">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EA">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EB">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EC">
      <w:pPr>
        <w:ind w:right="47"/>
        <w:jc w:val="both"/>
        <w:rPr>
          <w:rFonts w:ascii="Arial" w:cs="Arial" w:eastAsia="Arial" w:hAnsi="Arial"/>
          <w:b w:val="1"/>
          <w:sz w:val="12"/>
          <w:szCs w:val="12"/>
        </w:rPr>
      </w:pPr>
      <w:r w:rsidDel="00000000" w:rsidR="00000000" w:rsidRPr="00000000">
        <w:rPr>
          <w:rFonts w:ascii="Arial" w:cs="Arial" w:eastAsia="Arial" w:hAnsi="Arial"/>
          <w:b w:val="1"/>
          <w:sz w:val="12"/>
          <w:szCs w:val="12"/>
          <w:rtl w:val="0"/>
        </w:rPr>
        <w:t xml:space="preserve">FRA/SRP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34"/>
    <w:qFormat w:val="1"/>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C849A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1E4337"/>
    <w:pPr>
      <w:spacing w:after="100" w:afterAutospacing="1" w:before="100" w:beforeAutospacing="1"/>
    </w:pPr>
    <w:rPr>
      <w:sz w:val="24"/>
      <w:szCs w:val="24"/>
    </w:rPr>
  </w:style>
  <w:style w:type="paragraph" w:styleId="tabelatextoalinhadoesquerda" w:customStyle="1">
    <w:name w:val="tabela_texto_alinhado_esquerda"/>
    <w:basedOn w:val="Normal"/>
    <w:rsid w:val="001E4337"/>
    <w:pPr>
      <w:spacing w:after="100" w:afterAutospacing="1" w:before="100" w:beforeAutospacing="1"/>
    </w:pPr>
    <w:rPr>
      <w:sz w:val="24"/>
      <w:szCs w:val="24"/>
    </w:rPr>
  </w:style>
  <w:style w:type="table" w:styleId="TableNormal" w:customStyle="1">
    <w:name w:val="Table Normal"/>
    <w:uiPriority w:val="2"/>
    <w:semiHidden w:val="1"/>
    <w:unhideWhenUsed w:val="1"/>
    <w:qFormat w:val="1"/>
    <w:rsid w:val="005B072C"/>
    <w:pPr>
      <w:widowControl w:val="0"/>
      <w:autoSpaceDE w:val="0"/>
      <w:autoSpaceDN w:val="0"/>
      <w:spacing w:after="0" w:line="240" w:lineRule="auto"/>
    </w:pPr>
    <w:rPr>
      <w:rFonts w:asciiTheme="minorHAnsi" w:cstheme="minorBidi" w:eastAsiaTheme="minorHAnsi" w:hAnsiTheme="minorHAnsi"/>
      <w:lang w:eastAsia="en-US" w:val="en-US"/>
    </w:rPr>
    <w:tblPr>
      <w:tblInd w:w="0.0" w:type="dxa"/>
      <w:tblCellMar>
        <w:top w:w="0.0" w:type="dxa"/>
        <w:left w:w="0.0" w:type="dxa"/>
        <w:bottom w:w="0.0" w:type="dxa"/>
        <w:right w:w="0.0" w:type="dxa"/>
      </w:tblCellMar>
    </w:tblPr>
  </w:style>
  <w:style w:type="paragraph" w:styleId="TableParagraph" w:customStyle="1">
    <w:name w:val="Table Paragraph"/>
    <w:basedOn w:val="Normal"/>
    <w:uiPriority w:val="1"/>
    <w:qFormat w:val="1"/>
    <w:rsid w:val="005B072C"/>
    <w:pPr>
      <w:widowControl w:val="0"/>
      <w:autoSpaceDE w:val="0"/>
      <w:autoSpaceDN w:val="0"/>
    </w:pPr>
    <w:rPr>
      <w:rFonts w:ascii="Garamond" w:cs="Garamond" w:eastAsia="Garamond" w:hAnsi="Garamond"/>
      <w:sz w:val="22"/>
      <w:szCs w:val="22"/>
      <w:lang w:eastAsia="en-US" w:val="en-US"/>
    </w:rPr>
  </w:style>
  <w:style w:type="paragraph" w:styleId="tabelatexto8alinhadoesquerda" w:customStyle="1">
    <w:name w:val="tabela_texto_8_alinhado_esquerda"/>
    <w:basedOn w:val="Normal"/>
    <w:rsid w:val="00545D39"/>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hmiHuwxl3z541Z2Unwep2nUpWQ==">AMUW2mV99lPXUTWUiYq3McT6YdHZHowfRUUTrIZm893gbVZ/Zapojb/zGi0itP7wdiUBoYqM0J6RL5j6EydSf4U1zSaIk956o3uS+LEs5GiWZ+tz25bZBs1Lj0XrEelMdTiE+AgAZsWo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2020-06-09T14:49:00Z</dcterms:created>
  <dc:creator>SESAU</dc:creator>
</cp:coreProperties>
</file>