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231/2020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133/2020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w:t>
      </w:r>
      <w:r w:rsidDel="00000000" w:rsidR="00000000" w:rsidRPr="00000000">
        <w:rPr>
          <w:rFonts w:ascii="Arial" w:cs="Arial" w:eastAsia="Arial" w:hAnsi="Arial"/>
          <w:b w:val="1"/>
          <w:sz w:val="16"/>
          <w:szCs w:val="16"/>
          <w:rtl w:val="0"/>
        </w:rPr>
        <w:t xml:space="preserve">0036.259892/2019-64</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 </w:t>
      </w:r>
      <w:r w:rsidDel="00000000" w:rsidR="00000000" w:rsidRPr="00000000">
        <w:rPr>
          <w:rFonts w:ascii="Arial" w:cs="Arial" w:eastAsia="Arial" w:hAnsi="Arial"/>
          <w:sz w:val="16"/>
          <w:szCs w:val="16"/>
          <w:rtl w:val="0"/>
        </w:rPr>
        <w:t xml:space="preserve">para aquisição eventual e futura através de Ata de Registro de Preços de Frascos e equipos de Nutrição Enteral (com conexão em cruz) para uso em SISTEMA FECHADO, destinados ao atendimento das Unidades de Hospitalares da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aquisição eventual e futura através de Ata de Registro de Preços de Frascos e equipos de Nutrição Enteral (com conexão em cruz) para uso em SISTEMA FECHADO, destinados ao atendimento das Unidades de Hospitalares da SESAU.</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 </w:t>
      </w:r>
      <w:r w:rsidDel="00000000" w:rsidR="00000000" w:rsidRPr="00000000">
        <w:rPr>
          <w:rFonts w:ascii="Arial" w:cs="Arial" w:eastAsia="Arial" w:hAnsi="Arial"/>
          <w:b w:val="1"/>
          <w:sz w:val="16"/>
          <w:szCs w:val="16"/>
          <w:rtl w:val="0"/>
        </w:rPr>
        <w:t xml:space="preserve">12 (doze)meses,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6.3.DO PRAZO DE ENTREGA</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A entrega deverá ocorrer conforme solicitação via requisição da Secretaria de Saúde com definição da quantidade no prazo de até 30 dias após emissão da Nota de Empenho.</w:t>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6.4.DO LOCAL DE ENTREGA:</w:t>
      </w:r>
      <w:r w:rsidDel="00000000" w:rsidR="00000000" w:rsidRPr="00000000">
        <w:rPr>
          <w:rFonts w:ascii="Arial" w:cs="Arial" w:eastAsia="Arial" w:hAnsi="Arial"/>
          <w:sz w:val="16"/>
          <w:szCs w:val="16"/>
          <w:rtl w:val="0"/>
        </w:rPr>
        <w:t xml:space="preserve">Os materiais deverão ser entregues na Coordenadoria Estadual de Nutrição Enteral sito à Rua: Aparício Moraes, n° 4348, Galpão C – Setor Industrial – Porto Velho/Rondônia – CEP: 76.821-240. Tel. (69) 3222-0509/3222-0512.</w:t>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Além das penalidades previstas na Lei nº. 8.666/93, a CONTRATADA estará sujeita as sanções previstas no art. 87, da mesma lei, pela inexecução total ou parcial do objeto do contrato, originado deste instrumento de aquisição, conforme segue: </w:t>
      </w:r>
    </w:p>
    <w:p w:rsidR="00000000" w:rsidDel="00000000" w:rsidP="00000000" w:rsidRDefault="00000000" w:rsidRPr="00000000" w14:paraId="0000003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w:t>
      </w:r>
      <w:r w:rsidDel="00000000" w:rsidR="00000000" w:rsidRPr="00000000">
        <w:rPr>
          <w:rFonts w:ascii="Arial" w:cs="Arial" w:eastAsia="Arial" w:hAnsi="Arial"/>
          <w:sz w:val="16"/>
          <w:szCs w:val="16"/>
          <w:rtl w:val="0"/>
        </w:rPr>
        <w:t xml:space="preserve"> Cobrança pelo Estado, por via administrativa ou judicial, de multa equivalente a 1% (um por cento) do valor estimado pelo item ofertado. </w:t>
      </w:r>
    </w:p>
    <w:p w:rsidR="00000000" w:rsidDel="00000000" w:rsidP="00000000" w:rsidRDefault="00000000" w:rsidRPr="00000000" w14:paraId="0000003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000000" w:rsidDel="00000000" w:rsidP="00000000" w:rsidRDefault="00000000" w:rsidRPr="00000000" w14:paraId="0000003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w:t>
      </w:r>
    </w:p>
    <w:p w:rsidR="00000000" w:rsidDel="00000000" w:rsidP="00000000" w:rsidRDefault="00000000" w:rsidRPr="00000000" w14:paraId="0000003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Advertência, sempre que for constatada irregularidade de pouca gravidade, para as quais tenha a Contratada concorrida diretamente, ocorrência que será registrada no Cadastro de Fornecedores do Estado de Rondônia; </w:t>
      </w:r>
    </w:p>
    <w:p w:rsidR="00000000" w:rsidDel="00000000" w:rsidP="00000000" w:rsidRDefault="00000000" w:rsidRPr="00000000" w14:paraId="00000037">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Multa de 0,2% (dois décimos por cento) ao dia, por atraso no fornecimento e por entrega em desacordo com as especificações estabelecidas neste Termo de Referência, até o décimo dia corrido;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 </w:t>
      </w:r>
    </w:p>
    <w:p w:rsidR="00000000" w:rsidDel="00000000" w:rsidP="00000000" w:rsidRDefault="00000000" w:rsidRPr="00000000" w14:paraId="00000038">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Depois de esgotado o(s) prazo(s) concedido(s), conforme item 4.3.6, esta SESAU/RO, aplicará a multa por atraso na entrega de 0,5% ao dia até o limite de 10% sobre o valor da parte inadimplida, e, entendendo necessário, aplicará as sanções administrativas previstas na Lei 8.666/93, art. 86 a 88; </w:t>
      </w:r>
    </w:p>
    <w:p w:rsidR="00000000" w:rsidDel="00000000" w:rsidP="00000000" w:rsidRDefault="00000000" w:rsidRPr="00000000" w14:paraId="00000039">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000000" w:rsidDel="00000000" w:rsidP="00000000" w:rsidRDefault="00000000" w:rsidRPr="00000000" w14:paraId="0000003A">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 </w:t>
      </w:r>
    </w:p>
    <w:p w:rsidR="00000000" w:rsidDel="00000000" w:rsidP="00000000" w:rsidRDefault="00000000" w:rsidRPr="00000000" w14:paraId="0000003B">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C">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3D">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000000" w:rsidDel="00000000" w:rsidP="00000000" w:rsidRDefault="00000000" w:rsidRPr="00000000" w14:paraId="0000003E">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000000" w:rsidDel="00000000" w:rsidP="00000000" w:rsidRDefault="00000000" w:rsidRPr="00000000" w14:paraId="0000003F">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3.555, de 2000, e do Decreto nº 5.450, de 2005: </w:t>
      </w:r>
    </w:p>
    <w:p w:rsidR="00000000" w:rsidDel="00000000" w:rsidP="00000000" w:rsidRDefault="00000000" w:rsidRPr="00000000" w14:paraId="00000040">
      <w:pPr>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 </w:t>
      </w:r>
    </w:p>
    <w:p w:rsidR="00000000" w:rsidDel="00000000" w:rsidP="00000000" w:rsidRDefault="00000000" w:rsidRPr="00000000" w14:paraId="00000041">
      <w:pPr>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 </w:t>
      </w:r>
    </w:p>
    <w:p w:rsidR="00000000" w:rsidDel="00000000" w:rsidP="00000000" w:rsidRDefault="00000000" w:rsidRPr="00000000" w14:paraId="00000042">
      <w:pPr>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 </w:t>
      </w:r>
    </w:p>
    <w:p w:rsidR="00000000" w:rsidDel="00000000" w:rsidP="00000000" w:rsidRDefault="00000000" w:rsidRPr="00000000" w14:paraId="00000043">
      <w:pPr>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 </w:t>
      </w:r>
    </w:p>
    <w:p w:rsidR="00000000" w:rsidDel="00000000" w:rsidP="00000000" w:rsidRDefault="00000000" w:rsidRPr="00000000" w14:paraId="00000044">
      <w:pPr>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 </w:t>
      </w:r>
    </w:p>
    <w:p w:rsidR="00000000" w:rsidDel="00000000" w:rsidP="00000000" w:rsidRDefault="00000000" w:rsidRPr="00000000" w14:paraId="0000004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 </w:t>
      </w:r>
    </w:p>
    <w:p w:rsidR="00000000" w:rsidDel="00000000" w:rsidP="00000000" w:rsidRDefault="00000000" w:rsidRPr="00000000" w14:paraId="0000004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 </w:t>
      </w:r>
    </w:p>
    <w:p w:rsidR="00000000" w:rsidDel="00000000" w:rsidP="00000000" w:rsidRDefault="00000000" w:rsidRPr="00000000" w14:paraId="00000047">
      <w:pPr>
        <w:rPr>
          <w:rFonts w:ascii="Arial" w:cs="Arial" w:eastAsia="Arial" w:hAnsi="Arial"/>
          <w:sz w:val="16"/>
          <w:szCs w:val="16"/>
        </w:rPr>
      </w:pPr>
      <w:r w:rsidDel="00000000" w:rsidR="00000000" w:rsidRPr="00000000">
        <w:rPr>
          <w:rtl w:val="0"/>
        </w:rPr>
      </w:r>
    </w:p>
    <w:tbl>
      <w:tblPr>
        <w:tblStyle w:val="Table1"/>
        <w:tblW w:w="996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30"/>
        <w:gridCol w:w="7145"/>
        <w:gridCol w:w="890"/>
        <w:gridCol w:w="1100"/>
        <w:tblGridChange w:id="0">
          <w:tblGrid>
            <w:gridCol w:w="830"/>
            <w:gridCol w:w="7145"/>
            <w:gridCol w:w="890"/>
            <w:gridCol w:w="1100"/>
          </w:tblGrid>
        </w:tblGridChange>
      </w:tblGrid>
      <w:tr>
        <w:trPr>
          <w:trHeight w:val="485" w:hRule="atLeast"/>
        </w:trPr>
        <w:tc>
          <w:tcPr>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9">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F">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fornecimento do objeto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2">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entregar os bens determinados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10"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Realizar entrega incompleta,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D">
            <w:pPr>
              <w:spacing w:after="0" w:before="0" w:lineRule="auto"/>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sobre o objeto ou substituição de material; por ocorrência.</w:t>
            </w:r>
          </w:p>
        </w:tc>
        <w:tc>
          <w:tcPr>
            <w:tcMar>
              <w:top w:w="100.0" w:type="dxa"/>
              <w:left w:w="100.0" w:type="dxa"/>
              <w:bottom w:w="100.0" w:type="dxa"/>
              <w:right w:w="100.0" w:type="dxa"/>
            </w:tcMar>
            <w:vAlign w:val="top"/>
          </w:tcPr>
          <w:p w:rsidR="00000000" w:rsidDel="00000000" w:rsidP="00000000" w:rsidRDefault="00000000" w:rsidRPr="00000000" w14:paraId="0000005E">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F">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485" w:hRule="atLeast"/>
        </w:trPr>
        <w:tc>
          <w:tcPr>
            <w:gridSpan w:val="4"/>
            <w:tcMar>
              <w:top w:w="100.0" w:type="dxa"/>
              <w:left w:w="100.0" w:type="dxa"/>
              <w:bottom w:w="100.0" w:type="dxa"/>
              <w:right w:w="100.0" w:type="dxa"/>
            </w:tcMar>
            <w:vAlign w:val="top"/>
          </w:tcPr>
          <w:p w:rsidR="00000000" w:rsidDel="00000000" w:rsidP="00000000" w:rsidRDefault="00000000" w:rsidRPr="00000000" w14:paraId="00000060">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reposição de materiais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0" w:lineRule="auto"/>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fornecimento nos prazos estabelecidos, observados os limites mínimos estabelecidos,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0" w:before="0" w:lineRule="auto"/>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0" w:before="0" w:lineRule="auto"/>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0" w:before="0" w:lineRule="auto"/>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C">
      <w:pPr>
        <w:spacing w:after="0" w:before="0" w:lineRule="auto"/>
        <w:ind w:left="60" w:right="60" w:firstLine="0"/>
        <w:jc w:val="center"/>
        <w:rPr>
          <w:rFonts w:ascii="Arial" w:cs="Arial" w:eastAsia="Arial" w:hAnsi="Arial"/>
          <w:i w:val="1"/>
          <w:sz w:val="16"/>
          <w:szCs w:val="16"/>
        </w:rPr>
      </w:pP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i w:val="1"/>
          <w:sz w:val="16"/>
          <w:szCs w:val="16"/>
          <w:rtl w:val="0"/>
        </w:rPr>
        <w:t xml:space="preserve">incidente sobre a parte inadimplida do contrato.</w:t>
      </w:r>
    </w:p>
    <w:p w:rsidR="00000000" w:rsidDel="00000000" w:rsidP="00000000" w:rsidRDefault="00000000" w:rsidRPr="00000000" w14:paraId="0000007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7E">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 </w:t>
      </w:r>
    </w:p>
    <w:p w:rsidR="00000000" w:rsidDel="00000000" w:rsidP="00000000" w:rsidRDefault="00000000" w:rsidRPr="00000000" w14:paraId="0000007F">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 </w:t>
      </w:r>
    </w:p>
    <w:p w:rsidR="00000000" w:rsidDel="00000000" w:rsidP="00000000" w:rsidRDefault="00000000" w:rsidRPr="00000000" w14:paraId="00000080">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 </w:t>
      </w:r>
    </w:p>
    <w:p w:rsidR="00000000" w:rsidDel="00000000" w:rsidP="00000000" w:rsidRDefault="00000000" w:rsidRPr="00000000" w14:paraId="00000081">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9.21.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000000" w:rsidDel="00000000" w:rsidP="00000000" w:rsidRDefault="00000000" w:rsidRPr="00000000" w14:paraId="00000082">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9.22.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 </w:t>
      </w:r>
    </w:p>
    <w:p w:rsidR="00000000" w:rsidDel="00000000" w:rsidP="00000000" w:rsidRDefault="00000000" w:rsidRPr="00000000" w14:paraId="0000008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9.23.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 </w:t>
      </w:r>
    </w:p>
    <w:p w:rsidR="00000000" w:rsidDel="00000000" w:rsidP="00000000" w:rsidRDefault="00000000" w:rsidRPr="00000000" w14:paraId="0000008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9.24.</w:t>
      </w:r>
      <w:r w:rsidDel="00000000" w:rsidR="00000000" w:rsidRPr="00000000">
        <w:rPr>
          <w:rFonts w:ascii="Arial" w:cs="Arial" w:eastAsia="Arial" w:hAnsi="Arial"/>
          <w:sz w:val="16"/>
          <w:szCs w:val="16"/>
          <w:rtl w:val="0"/>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a) Tenham sofrido condenações definitivas por praticarem, por meio dolosos, fraude fiscal no recolhimento de tributos; b) Tenham praticado atos ilícitos visando a frustrar os objetivos da licitação; c) Demonstrem não possuir idoneidade para contratar com a Administração em virtude de atos ilícitos praticados. </w:t>
      </w:r>
    </w:p>
    <w:p w:rsidR="00000000" w:rsidDel="00000000" w:rsidP="00000000" w:rsidRDefault="00000000" w:rsidRPr="00000000" w14:paraId="0000008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9.25. </w:t>
      </w:r>
      <w:r w:rsidDel="00000000" w:rsidR="00000000" w:rsidRPr="00000000">
        <w:rPr>
          <w:rFonts w:ascii="Arial" w:cs="Arial" w:eastAsia="Arial" w:hAnsi="Arial"/>
          <w:sz w:val="16"/>
          <w:szCs w:val="16"/>
          <w:rtl w:val="0"/>
        </w:rPr>
        <w:t xml:space="preserve">Suspensão temporária de participar em licitação e impedimento de contratar com a Administração, pelo prazo não superior a 02 (dois) anos; </w:t>
      </w:r>
    </w:p>
    <w:p w:rsidR="00000000" w:rsidDel="00000000" w:rsidP="00000000" w:rsidRDefault="00000000" w:rsidRPr="00000000" w14:paraId="0000008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9.26.</w:t>
      </w:r>
      <w:r w:rsidDel="00000000" w:rsidR="00000000" w:rsidRPr="00000000">
        <w:rPr>
          <w:rFonts w:ascii="Arial" w:cs="Arial" w:eastAsia="Arial" w:hAnsi="Arial"/>
          <w:sz w:val="16"/>
          <w:szCs w:val="16"/>
          <w:rtl w:val="0"/>
        </w:rPr>
        <w:t xml:space="preserve">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 </w:t>
      </w:r>
    </w:p>
    <w:p w:rsidR="00000000" w:rsidDel="00000000" w:rsidP="00000000" w:rsidRDefault="00000000" w:rsidRPr="00000000" w14:paraId="00000087">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9.27.</w:t>
      </w:r>
      <w:r w:rsidDel="00000000" w:rsidR="00000000" w:rsidRPr="00000000">
        <w:rPr>
          <w:rFonts w:ascii="Arial" w:cs="Arial" w:eastAsia="Arial" w:hAnsi="Arial"/>
          <w:sz w:val="16"/>
          <w:szCs w:val="16"/>
          <w:rtl w:val="0"/>
        </w:rPr>
        <w:t xml:space="preserve"> As sanções são independentes e a aplicação de uma não exclui a das outras.</w:t>
      </w:r>
    </w:p>
    <w:p w:rsidR="00000000" w:rsidDel="00000000" w:rsidP="00000000" w:rsidRDefault="00000000" w:rsidRPr="00000000" w14:paraId="00000088">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9">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10.DA UTILIZAÇÃO DA ATA </w:t>
      </w:r>
      <w:r w:rsidDel="00000000" w:rsidR="00000000" w:rsidRPr="00000000">
        <w:rPr>
          <w:rtl w:val="0"/>
        </w:rPr>
      </w:r>
    </w:p>
    <w:p w:rsidR="00000000" w:rsidDel="00000000" w:rsidP="00000000" w:rsidRDefault="00000000" w:rsidRPr="00000000" w14:paraId="0000008A">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10.1. </w:t>
      </w:r>
      <w:r w:rsidDel="00000000" w:rsidR="00000000" w:rsidRPr="00000000">
        <w:rPr>
          <w:rFonts w:ascii="Arial" w:cs="Arial" w:eastAsia="Arial" w:hAnsi="Arial"/>
          <w:sz w:val="16"/>
          <w:szCs w:val="16"/>
          <w:rtl w:val="0"/>
        </w:rPr>
        <w:t xml:space="preserve">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8B">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10.2. </w:t>
      </w:r>
      <w:r w:rsidDel="00000000" w:rsidR="00000000" w:rsidRPr="00000000">
        <w:rPr>
          <w:rFonts w:ascii="Arial" w:cs="Arial" w:eastAsia="Arial" w:hAnsi="Arial"/>
          <w:sz w:val="16"/>
          <w:szCs w:val="16"/>
          <w:rtl w:val="0"/>
        </w:rPr>
        <w:t xml:space="preserve">É facultada aos órgãos s ou entidades municipais, distritais ou estaduais a adesão a ata de registro de preços da Administração Pública Estadual.</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 </w:t>
      </w:r>
      <w:r w:rsidDel="00000000" w:rsidR="00000000" w:rsidRPr="00000000">
        <w:rPr>
          <w:rFonts w:ascii="Arial" w:cs="Arial" w:eastAsia="Arial" w:hAnsi="Arial"/>
          <w:color w:val="000000"/>
          <w:sz w:val="16"/>
          <w:szCs w:val="16"/>
          <w:rtl w:val="0"/>
        </w:rPr>
        <w:t xml:space="preserve">Caberá ao órgão que se utilizar da ata, verificar a vantagem econômica da adesão a este Registro de Preço.</w:t>
      </w:r>
    </w:p>
    <w:p w:rsidR="00000000" w:rsidDel="00000000" w:rsidP="00000000" w:rsidRDefault="00000000" w:rsidRPr="00000000" w14:paraId="0000009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1">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Convocar os demais fornecedores para assegurar igual oportunidade de negociação;</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B">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Dispor-se a toda e qualquer fiscalização, no tocante ao fornecimento do produto, assim como ao cumprimento das obrigações previstas na ATA;</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Respeitar e fazer cumprir a legislação de segurança e saúde no trabalho, previstas nas normas regulamentadoras pertinentes;</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Todos os impostos e taxas que forem devidos em decorrência das contratações do objeto do Edital correrão por conta exclusiva da contratada;</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Rejeitar, no todo ou em parte, os objetos desta Ata entregues em desacordo com as obrigações assumidas pelo fornecedor;</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Notificar a CONTRATADA de qualquer irregularidade encontrada no fornecimento dos objetos desta Ata;</w:t>
      </w:r>
    </w:p>
    <w:p w:rsidR="00000000" w:rsidDel="00000000" w:rsidP="00000000" w:rsidRDefault="00000000" w:rsidRPr="00000000" w14:paraId="000000A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haverásob-hipótese alguma, pagamento antecipado.</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14.DOS ÓRGÃOS PARTICIPANTES:</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É participante desta ata o seguinte órgão pertencente à Administração Pública do Estado de Rondônia:</w:t>
      </w:r>
    </w:p>
    <w:p w:rsidR="00000000" w:rsidDel="00000000" w:rsidP="00000000" w:rsidRDefault="00000000" w:rsidRPr="00000000" w14:paraId="000000B1">
      <w:pPr>
        <w:ind w:right="6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Secretaria de Estado da Saúde..</w:t>
      </w:r>
    </w:p>
    <w:p w:rsidR="00000000" w:rsidDel="00000000" w:rsidP="00000000" w:rsidRDefault="00000000" w:rsidRPr="00000000" w14:paraId="000000B2">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B3">
      <w:pPr>
        <w:jc w:val="both"/>
        <w:rPr>
          <w:rFonts w:ascii="Arial" w:cs="Arial" w:eastAsia="Arial" w:hAnsi="Arial"/>
          <w:b w:val="1"/>
          <w:color w:val="000000"/>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Fazem parte integrante desta Ata, para todos os efeitos legais: o Edital de Licitação e seus anexos, bem como, o ANEXO ÚNICO desta ataque contém os preços registrados e respectivos detentores.</w:t>
      </w:r>
    </w:p>
    <w:p w:rsidR="00000000" w:rsidDel="00000000" w:rsidP="00000000" w:rsidRDefault="00000000" w:rsidRPr="00000000" w14:paraId="000000B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9">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Fica eleito o foro do Município de Porto Velho/RO para dirimir as eventuais controvérsias decorrentes do presente ajuste.</w:t>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C">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D">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BE">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F">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3">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4">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C2eCYfHBdMCBSiaxkDJin/Cn0g==">AMUW2mW40xYNHPXmVmzEtuTJEL4RIMPznaIymVSFI36O1pKLsu3G/iPsLYZMonSWk7u2qHoYHst7udiLGfa5eOa5Tf9biYbPNqHDIjW2p0fwWdH0izz0toE3cRCtOprW0tXN4GcU5dh+GvvoEKF/bvYylhGqZ2nRfA==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2020-06-19T18:18:00Z</dcterms:created>
  <dc:creator>SESAU</dc:creator>
</cp:coreProperties>
</file>