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FF2" w:rsidRDefault="003A6FF2">
      <w:pPr>
        <w:pBdr>
          <w:top w:val="nil"/>
          <w:left w:val="nil"/>
          <w:bottom w:val="nil"/>
          <w:right w:val="nil"/>
          <w:between w:val="nil"/>
        </w:pBdr>
        <w:tabs>
          <w:tab w:val="center" w:pos="4419"/>
          <w:tab w:val="right" w:pos="8838"/>
        </w:tabs>
        <w:rPr>
          <w:rFonts w:ascii="Arial" w:eastAsia="Arial" w:hAnsi="Arial" w:cs="Arial"/>
          <w:color w:val="000000"/>
          <w:sz w:val="16"/>
          <w:szCs w:val="16"/>
        </w:rPr>
      </w:pPr>
    </w:p>
    <w:p w:rsidR="003A6FF2" w:rsidRDefault="00DB3841">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3A6FF2" w:rsidRDefault="00DB3841">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3A6FF2" w:rsidRDefault="00DB3841">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3A6FF2" w:rsidRDefault="00DB3841">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3A6FF2" w:rsidRDefault="003A6FF2">
      <w:pPr>
        <w:jc w:val="both"/>
        <w:rPr>
          <w:rFonts w:ascii="Arial" w:eastAsia="Arial" w:hAnsi="Arial" w:cs="Arial"/>
          <w:b/>
          <w:sz w:val="16"/>
          <w:szCs w:val="16"/>
          <w:u w:val="single"/>
        </w:rPr>
      </w:pP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A</w:t>
      </w:r>
      <w:r w:rsidR="006A1F5B" w:rsidRPr="006A1F5B">
        <w:rPr>
          <w:rFonts w:ascii="Arial" w:hAnsi="Arial" w:cs="Arial"/>
          <w:b/>
          <w:bCs/>
          <w:color w:val="000000"/>
          <w:sz w:val="16"/>
          <w:szCs w:val="16"/>
        </w:rPr>
        <w:t>TA DE REGISTRO DE PREÇOS: N° 215</w:t>
      </w:r>
      <w:r w:rsidRPr="006A1F5B">
        <w:rPr>
          <w:rFonts w:ascii="Arial" w:hAnsi="Arial" w:cs="Arial"/>
          <w:b/>
          <w:bCs/>
          <w:color w:val="000000"/>
          <w:sz w:val="16"/>
          <w:szCs w:val="16"/>
        </w:rPr>
        <w:t>/2020</w:t>
      </w:r>
    </w:p>
    <w:p w:rsidR="00363E40" w:rsidRPr="006A1F5B" w:rsidRDefault="006A1F5B" w:rsidP="00363E40">
      <w:pPr>
        <w:jc w:val="both"/>
        <w:rPr>
          <w:rFonts w:ascii="Arial" w:hAnsi="Arial" w:cs="Arial"/>
          <w:color w:val="000000"/>
          <w:sz w:val="16"/>
          <w:szCs w:val="16"/>
        </w:rPr>
      </w:pPr>
      <w:r w:rsidRPr="006A1F5B">
        <w:rPr>
          <w:rFonts w:ascii="Arial" w:hAnsi="Arial" w:cs="Arial"/>
          <w:b/>
          <w:bCs/>
          <w:color w:val="000000"/>
          <w:sz w:val="16"/>
          <w:szCs w:val="16"/>
        </w:rPr>
        <w:t>PREGÃO ELETRÔNICO Nº 588/</w:t>
      </w:r>
      <w:r w:rsidR="00363E40" w:rsidRPr="006A1F5B">
        <w:rPr>
          <w:rFonts w:ascii="Arial" w:hAnsi="Arial" w:cs="Arial"/>
          <w:b/>
          <w:bCs/>
          <w:color w:val="000000"/>
          <w:sz w:val="16"/>
          <w:szCs w:val="16"/>
        </w:rPr>
        <w:t>20</w:t>
      </w:r>
      <w:r w:rsidRPr="006A1F5B">
        <w:rPr>
          <w:rFonts w:ascii="Arial" w:hAnsi="Arial" w:cs="Arial"/>
          <w:b/>
          <w:bCs/>
          <w:color w:val="000000"/>
          <w:sz w:val="16"/>
          <w:szCs w:val="16"/>
        </w:rPr>
        <w:t>19</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PROCESSO Nº 0009.4</w:t>
      </w:r>
      <w:r w:rsidR="006A1F5B" w:rsidRPr="006A1F5B">
        <w:rPr>
          <w:rFonts w:ascii="Arial" w:hAnsi="Arial" w:cs="Arial"/>
          <w:b/>
          <w:bCs/>
          <w:color w:val="000000"/>
          <w:sz w:val="16"/>
          <w:szCs w:val="16"/>
        </w:rPr>
        <w:t>65099</w:t>
      </w:r>
      <w:r w:rsidRPr="006A1F5B">
        <w:rPr>
          <w:rFonts w:ascii="Arial" w:hAnsi="Arial" w:cs="Arial"/>
          <w:b/>
          <w:bCs/>
          <w:color w:val="000000"/>
          <w:sz w:val="16"/>
          <w:szCs w:val="16"/>
        </w:rPr>
        <w:t>/2019-20</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para </w:t>
      </w:r>
      <w:r w:rsidR="006A1F5B" w:rsidRPr="006A1F5B">
        <w:rPr>
          <w:rFonts w:ascii="Arial" w:hAnsi="Arial" w:cs="Arial"/>
          <w:color w:val="000000"/>
          <w:sz w:val="16"/>
          <w:szCs w:val="16"/>
        </w:rPr>
        <w:t>aquisição de material de consumo e permanente, sendo utensílios para cozinha (Panela de Pressão, Processador de alimentos, Galão Retornável, Espátula, Cilindro Elétrico, Escorredor, Assadeira, Frigideira, Kits de Potes, Tábua para corte, Pano de Prato, Botija de Gás, Bacia Plástica, Bandeja, Caixa Térmica, Pegador de Macarrão, Mesa lisa, Batedeira, Cilindro de massas manual e Geladeira), para atender as necessidades das Residências Regionais deste</w:t>
      </w:r>
      <w:r w:rsidRPr="006A1F5B">
        <w:rPr>
          <w:rFonts w:ascii="Arial" w:hAnsi="Arial" w:cs="Arial"/>
          <w:color w:val="000000"/>
          <w:sz w:val="16"/>
          <w:szCs w:val="16"/>
        </w:rPr>
        <w:t xml:space="preserve">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 DO OBJETO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REGISTRO DE PREÇO para futura e </w:t>
      </w:r>
      <w:r w:rsidR="006A1F5B" w:rsidRPr="006A1F5B">
        <w:rPr>
          <w:rFonts w:ascii="Arial" w:hAnsi="Arial" w:cs="Arial"/>
          <w:color w:val="000000"/>
          <w:sz w:val="16"/>
          <w:szCs w:val="16"/>
        </w:rPr>
        <w:t>aquisição de material de consumo e permanente, sendo utensílios para cozinha (Panela de Pressão, Processador de alimentos, Galão Retornável, Espátula, Cilindro Elétrico, Escorredor, Assadeira, Frigideira, Kits de Potes, Tábua para corte, Pano de Prato, Botija de Gás, Bacia Plástica, Bandeja, Caixa Térmica, Pegador de Macarrão, Mesa lisa, Batedeira, Cilindro de massas manual e Geladeira), para atender as necessidades das Residências Regionais deste</w:t>
      </w:r>
      <w:r w:rsidRPr="006A1F5B">
        <w:rPr>
          <w:rFonts w:ascii="Arial" w:hAnsi="Arial" w:cs="Arial"/>
          <w:color w:val="000000"/>
          <w:sz w:val="16"/>
          <w:szCs w:val="16"/>
        </w:rPr>
        <w:t xml:space="preserve"> DER/RO</w:t>
      </w:r>
      <w:r w:rsidR="006A1F5B" w:rsidRPr="006A1F5B">
        <w:rPr>
          <w:rFonts w:ascii="Arial" w:hAnsi="Arial" w:cs="Arial"/>
          <w:color w:val="000000"/>
          <w:sz w:val="16"/>
          <w:szCs w:val="16"/>
        </w:rPr>
        <w:t>.</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2. DA VIGÊNCIA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2.1. O presente Registro de Preços terá validade de 12 (doze) meses, contados a partir de sua publicação no Diário Oficial do Estado.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3. DA GERÊNCIA DA PRESENTE ATA DE REGISTRO DE PREÇOS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 xml:space="preserve">4. DA ESPECIFICAÇÃO, QUANTIDADE E </w:t>
      </w:r>
      <w:proofErr w:type="gramStart"/>
      <w:r w:rsidRPr="006A1F5B">
        <w:rPr>
          <w:rFonts w:ascii="Arial" w:hAnsi="Arial" w:cs="Arial"/>
          <w:b/>
          <w:bCs/>
          <w:color w:val="000000"/>
          <w:sz w:val="16"/>
          <w:szCs w:val="16"/>
        </w:rPr>
        <w:t>PREÇO</w:t>
      </w:r>
      <w:proofErr w:type="gramEnd"/>
      <w:r w:rsidRPr="006A1F5B">
        <w:rPr>
          <w:rFonts w:ascii="Arial" w:hAnsi="Arial" w:cs="Arial"/>
          <w:b/>
          <w:bCs/>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4.1. O preço, a quantidade, o fornecedor e a especificação do item registrado nesta Ata, encontram-se indicados no Anexo I deste instrumento.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5. PRAZOS E CONDIÇÕES DE FORNECIMENTO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A DETENTORA do registro de preços se obriga, nos termos do Edital e deste instrumento, 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5.1. Retirar a Nota de Empenho junto ao órgão solicitante no prazo de até 05 (cinco) dias, contados da convocação;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5.2. Iniciar o fornecimento do objeto dessa Ata, conforme prazo estabelecido no Termo de Referência e edital de licitações.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roofErr w:type="gramStart"/>
      <w:r w:rsidRPr="006A1F5B">
        <w:rPr>
          <w:rFonts w:ascii="Arial" w:hAnsi="Arial" w:cs="Arial"/>
          <w:color w:val="000000"/>
          <w:sz w:val="16"/>
          <w:szCs w:val="16"/>
        </w:rPr>
        <w:t>  </w:t>
      </w:r>
      <w:proofErr w:type="gramEnd"/>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6. DO PRAZO E LOCAL DE ENTREGA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6.2. Expedida a Nota de Empenho, o recebimento de seu objeto ficará condicionado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observância das normas contidas no art. 40, inciso XVI, c/c o art. 73 inciso II, “a” e “b”, da Lei 8.666/93 e alterações.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6.3. DO PRAZO DE ENTREGA: </w:t>
      </w:r>
      <w:r w:rsidR="006A1F5B" w:rsidRPr="006A1F5B">
        <w:rPr>
          <w:rFonts w:ascii="Arial" w:hAnsi="Arial" w:cs="Arial"/>
          <w:color w:val="000000"/>
          <w:sz w:val="16"/>
          <w:szCs w:val="16"/>
        </w:rPr>
        <w:t>Será de até 30 (trinta) dias, contados a partir do recebimento pela Contratada da Ordem de Serviço ou da nota de Empenho, o que ocorrer primeiro.</w:t>
      </w:r>
    </w:p>
    <w:p w:rsidR="00363E40" w:rsidRPr="006A1F5B" w:rsidRDefault="00363E40" w:rsidP="006A1F5B">
      <w:pPr>
        <w:jc w:val="both"/>
        <w:rPr>
          <w:rFonts w:ascii="Arial" w:hAnsi="Arial" w:cs="Arial"/>
          <w:color w:val="000000"/>
          <w:sz w:val="16"/>
          <w:szCs w:val="16"/>
        </w:rPr>
      </w:pPr>
      <w:r w:rsidRPr="006A1F5B">
        <w:rPr>
          <w:rFonts w:ascii="Arial" w:hAnsi="Arial" w:cs="Arial"/>
          <w:color w:val="000000"/>
          <w:sz w:val="16"/>
          <w:szCs w:val="16"/>
        </w:rPr>
        <w:t>6.4. LOCAL/HORÁRIO DE ENTREGA:</w:t>
      </w:r>
      <w:r w:rsidR="006A1F5B" w:rsidRPr="006A1F5B">
        <w:rPr>
          <w:rStyle w:val="TableNormal"/>
          <w:rFonts w:ascii="Arial" w:hAnsi="Arial" w:cs="Arial"/>
          <w:color w:val="000000"/>
          <w:sz w:val="16"/>
          <w:szCs w:val="16"/>
        </w:rPr>
        <w:t xml:space="preserve"> </w:t>
      </w:r>
      <w:r w:rsidR="006A1F5B" w:rsidRPr="006A1F5B">
        <w:rPr>
          <w:rStyle w:val="Forte"/>
          <w:rFonts w:ascii="Arial" w:hAnsi="Arial" w:cs="Arial"/>
          <w:color w:val="000000"/>
          <w:sz w:val="16"/>
          <w:szCs w:val="16"/>
        </w:rPr>
        <w:t xml:space="preserve">Os materiais serão </w:t>
      </w:r>
      <w:proofErr w:type="gramStart"/>
      <w:r w:rsidR="006A1F5B" w:rsidRPr="006A1F5B">
        <w:rPr>
          <w:rStyle w:val="Forte"/>
          <w:rFonts w:ascii="Arial" w:hAnsi="Arial" w:cs="Arial"/>
          <w:color w:val="000000"/>
          <w:sz w:val="16"/>
          <w:szCs w:val="16"/>
        </w:rPr>
        <w:t>entregues Residência</w:t>
      </w:r>
      <w:proofErr w:type="gramEnd"/>
      <w:r w:rsidR="006A1F5B" w:rsidRPr="006A1F5B">
        <w:rPr>
          <w:rStyle w:val="Forte"/>
          <w:rFonts w:ascii="Arial" w:hAnsi="Arial" w:cs="Arial"/>
          <w:color w:val="000000"/>
          <w:sz w:val="16"/>
          <w:szCs w:val="16"/>
        </w:rPr>
        <w:t xml:space="preserve"> Regional de </w:t>
      </w:r>
      <w:proofErr w:type="spellStart"/>
      <w:r w:rsidR="006A1F5B" w:rsidRPr="006A1F5B">
        <w:rPr>
          <w:rStyle w:val="Forte"/>
          <w:rFonts w:ascii="Arial" w:hAnsi="Arial" w:cs="Arial"/>
          <w:color w:val="000000"/>
          <w:sz w:val="16"/>
          <w:szCs w:val="16"/>
        </w:rPr>
        <w:t>Ji-Paraná</w:t>
      </w:r>
      <w:proofErr w:type="spellEnd"/>
      <w:r w:rsidR="006A1F5B" w:rsidRPr="006A1F5B">
        <w:rPr>
          <w:rStyle w:val="Forte"/>
          <w:rFonts w:ascii="Arial" w:hAnsi="Arial" w:cs="Arial"/>
          <w:color w:val="000000"/>
          <w:sz w:val="16"/>
          <w:szCs w:val="16"/>
        </w:rPr>
        <w:t xml:space="preserve"> – RO</w:t>
      </w:r>
      <w:r w:rsidR="006A1F5B" w:rsidRPr="006A1F5B">
        <w:rPr>
          <w:rFonts w:ascii="Arial" w:hAnsi="Arial" w:cs="Arial"/>
          <w:color w:val="000000"/>
          <w:sz w:val="16"/>
          <w:szCs w:val="16"/>
        </w:rPr>
        <w:t> através do endereço: BR-364 KM 08 SAÍDA PARA PORTO VELHO BAIRRO: SETOR INDUSTRIAL  CEP: 78.960-000. Telefone: (069) 3416-4865 – 3416-4822</w:t>
      </w:r>
      <w:r w:rsidR="006A1F5B" w:rsidRPr="006A1F5B">
        <w:rPr>
          <w:rStyle w:val="Forte"/>
          <w:rFonts w:ascii="Arial" w:hAnsi="Arial" w:cs="Arial"/>
          <w:color w:val="000000"/>
          <w:sz w:val="16"/>
          <w:szCs w:val="16"/>
        </w:rPr>
        <w:t>. </w:t>
      </w:r>
      <w:r w:rsidR="006A1F5B" w:rsidRPr="006A1F5B">
        <w:rPr>
          <w:rFonts w:ascii="Arial" w:hAnsi="Arial" w:cs="Arial"/>
          <w:color w:val="000000"/>
          <w:sz w:val="16"/>
          <w:szCs w:val="16"/>
        </w:rPr>
        <w:t>Horário de Atendimento: 08h00min as 12h00min das 14h00min as 18h00min de Segunda a Sexta-Feira.</w:t>
      </w:r>
      <w:r w:rsidRPr="006A1F5B">
        <w:rPr>
          <w:rFonts w:ascii="Arial" w:hAnsi="Arial" w:cs="Arial"/>
          <w:color w:val="000000"/>
          <w:sz w:val="16"/>
          <w:szCs w:val="16"/>
        </w:rPr>
        <w:t> </w:t>
      </w:r>
    </w:p>
    <w:p w:rsidR="006A1F5B" w:rsidRDefault="006A1F5B" w:rsidP="00363E40">
      <w:pPr>
        <w:jc w:val="both"/>
        <w:rPr>
          <w:rFonts w:ascii="Arial" w:hAnsi="Arial" w:cs="Arial"/>
          <w:b/>
          <w:bCs/>
          <w:color w:val="000000"/>
          <w:sz w:val="16"/>
          <w:szCs w:val="16"/>
        </w:rPr>
      </w:pP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 xml:space="preserve">7.  DAS CONDIÇÕES DE </w:t>
      </w:r>
      <w:proofErr w:type="gramStart"/>
      <w:r w:rsidRPr="006A1F5B">
        <w:rPr>
          <w:rFonts w:ascii="Arial" w:hAnsi="Arial" w:cs="Arial"/>
          <w:b/>
          <w:bCs/>
          <w:color w:val="000000"/>
          <w:sz w:val="16"/>
          <w:szCs w:val="16"/>
        </w:rPr>
        <w:t>PAGAMENTO</w:t>
      </w:r>
      <w:proofErr w:type="gramEnd"/>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7.1. A empresa detentora da Ata apresentará a Gerência Financeira do Órgão requisitante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nota fiscal referente ao fornecimento efetuado.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7.2. O respectivo Órgão terá o prazo de 10 (dez) dias úteis, a contar da apresentação da nota fiscal para aceitá-la ou rejeitá-la.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partir da data de sua reapresentação.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7.4. A devolução da nota fiscal não aprovada, em hipótese alguma, servirá de pretexto para que a empresa detentora da Ata suspenda quaisquer fornecimentos.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 xml:space="preserve">8.  DA DOTAÇÃO </w:t>
      </w:r>
      <w:proofErr w:type="gramStart"/>
      <w:r w:rsidRPr="006A1F5B">
        <w:rPr>
          <w:rFonts w:ascii="Arial" w:hAnsi="Arial" w:cs="Arial"/>
          <w:b/>
          <w:bCs/>
          <w:color w:val="000000"/>
          <w:sz w:val="16"/>
          <w:szCs w:val="16"/>
        </w:rPr>
        <w:t>ORÇAMENTÁRIA</w:t>
      </w:r>
      <w:proofErr w:type="gramEnd"/>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9. DAS SANÇÕES </w:t>
      </w:r>
    </w:p>
    <w:p w:rsidR="006A1F5B" w:rsidRPr="006A1F5B" w:rsidRDefault="00363E40" w:rsidP="006A1F5B">
      <w:pPr>
        <w:pStyle w:val="textojustificado"/>
        <w:spacing w:before="120" w:beforeAutospacing="0" w:after="120" w:afterAutospacing="0"/>
        <w:ind w:right="120"/>
        <w:jc w:val="both"/>
        <w:rPr>
          <w:rFonts w:ascii="Arial" w:hAnsi="Arial" w:cs="Arial"/>
          <w:color w:val="000000"/>
          <w:sz w:val="16"/>
          <w:szCs w:val="16"/>
        </w:rPr>
      </w:pPr>
      <w:r w:rsidRPr="006A1F5B">
        <w:rPr>
          <w:rFonts w:ascii="Arial" w:hAnsi="Arial" w:cs="Arial"/>
          <w:color w:val="000000"/>
          <w:sz w:val="16"/>
          <w:szCs w:val="16"/>
        </w:rPr>
        <w:t xml:space="preserve">9.1. </w:t>
      </w:r>
      <w:r w:rsidR="006A1F5B" w:rsidRPr="006A1F5B">
        <w:rPr>
          <w:rFonts w:ascii="Arial" w:hAnsi="Arial" w:cs="Arial"/>
          <w:color w:val="000000"/>
          <w:sz w:val="16"/>
          <w:szCs w:val="16"/>
        </w:rPr>
        <w:t xml:space="preserve">Pela Inexecução total ou parcial do objeto, o FITHA/DER-RO </w:t>
      </w:r>
      <w:proofErr w:type="gramStart"/>
      <w:r w:rsidR="006A1F5B" w:rsidRPr="006A1F5B">
        <w:rPr>
          <w:rFonts w:ascii="Arial" w:hAnsi="Arial" w:cs="Arial"/>
          <w:color w:val="000000"/>
          <w:sz w:val="16"/>
          <w:szCs w:val="16"/>
        </w:rPr>
        <w:t>poderá,</w:t>
      </w:r>
      <w:proofErr w:type="gramEnd"/>
      <w:r w:rsidR="006A1F5B" w:rsidRPr="006A1F5B">
        <w:rPr>
          <w:rFonts w:ascii="Arial" w:hAnsi="Arial" w:cs="Arial"/>
          <w:color w:val="000000"/>
          <w:sz w:val="16"/>
          <w:szCs w:val="16"/>
        </w:rPr>
        <w:t xml:space="preserve"> garantida a prévia defesa, aplicar à empresa contratada as seguintes sanções:</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lastRenderedPageBreak/>
        <w:t>9.1.1.</w:t>
      </w:r>
      <w:r w:rsidRPr="006A1F5B">
        <w:rPr>
          <w:rFonts w:ascii="Arial" w:hAnsi="Arial" w:cs="Arial"/>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9.1.2.</w:t>
      </w:r>
      <w:r w:rsidRPr="006A1F5B">
        <w:rPr>
          <w:rFonts w:ascii="Arial" w:hAnsi="Arial" w:cs="Arial"/>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9.1.2.1.</w:t>
      </w:r>
      <w:r w:rsidRPr="006A1F5B">
        <w:rPr>
          <w:rFonts w:ascii="Arial" w:hAnsi="Arial" w:cs="Arial"/>
          <w:color w:val="000000"/>
          <w:sz w:val="16"/>
          <w:szCs w:val="16"/>
        </w:rPr>
        <w:t> A multa moratória será aplicada a partir do 1º dia útil da inadimplência, contado da data definida para o regular cumprimento da obrigação;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9.1.3</w:t>
      </w:r>
      <w:r w:rsidRPr="006A1F5B">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9.1.4.</w:t>
      </w:r>
      <w:r w:rsidRPr="006A1F5B">
        <w:rPr>
          <w:rFonts w:ascii="Arial" w:hAnsi="Arial" w:cs="Arial"/>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9.1.5.</w:t>
      </w:r>
      <w:r w:rsidRPr="006A1F5B">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9.1.6.</w:t>
      </w:r>
      <w:r w:rsidRPr="006A1F5B">
        <w:rPr>
          <w:rFonts w:ascii="Arial" w:hAnsi="Arial" w:cs="Arial"/>
          <w:color w:val="000000"/>
          <w:sz w:val="16"/>
          <w:szCs w:val="16"/>
        </w:rPr>
        <w:t> Multa de 10% (dez por cento) sobre o valor total do contrato, no caso de sua inexecução total, sem embargo de indenização dos prejuízos porventura causados ao DER/RO;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9.1.7.</w:t>
      </w:r>
      <w:r w:rsidRPr="006A1F5B">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9.1.8.</w:t>
      </w:r>
      <w:r w:rsidRPr="006A1F5B">
        <w:rPr>
          <w:rFonts w:ascii="Arial" w:hAnsi="Arial" w:cs="Arial"/>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9.2.</w:t>
      </w:r>
      <w:r w:rsidRPr="006A1F5B">
        <w:rPr>
          <w:rFonts w:ascii="Arial" w:hAnsi="Arial" w:cs="Arial"/>
          <w:color w:val="000000"/>
          <w:sz w:val="16"/>
          <w:szCs w:val="16"/>
        </w:rPr>
        <w:t xml:space="preserve"> A multa prevista nos subitens 9.1.2, 9.1.3 e 9.1.8 </w:t>
      </w:r>
      <w:proofErr w:type="gramStart"/>
      <w:r w:rsidRPr="006A1F5B">
        <w:rPr>
          <w:rFonts w:ascii="Arial" w:hAnsi="Arial" w:cs="Arial"/>
          <w:color w:val="000000"/>
          <w:sz w:val="16"/>
          <w:szCs w:val="16"/>
        </w:rPr>
        <w:t>poderão ser aplicadas</w:t>
      </w:r>
      <w:proofErr w:type="gramEnd"/>
      <w:r w:rsidRPr="006A1F5B">
        <w:rPr>
          <w:rFonts w:ascii="Arial" w:hAnsi="Arial" w:cs="Arial"/>
          <w:color w:val="000000"/>
          <w:sz w:val="16"/>
          <w:szCs w:val="16"/>
        </w:rPr>
        <w:t xml:space="preserve"> isoladas ou em conjunto com as previstas nos subitens 9.1.5 e 9.1.6;</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9.3.</w:t>
      </w:r>
      <w:r w:rsidRPr="006A1F5B">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9.4.</w:t>
      </w:r>
      <w:r w:rsidRPr="006A1F5B">
        <w:rPr>
          <w:rFonts w:ascii="Arial" w:hAnsi="Arial" w:cs="Arial"/>
          <w:color w:val="000000"/>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6A1F5B">
        <w:rPr>
          <w:rFonts w:ascii="Arial" w:hAnsi="Arial" w:cs="Arial"/>
          <w:color w:val="000000"/>
          <w:sz w:val="16"/>
          <w:szCs w:val="16"/>
        </w:rPr>
        <w:t>5</w:t>
      </w:r>
      <w:proofErr w:type="gramEnd"/>
      <w:r w:rsidRPr="006A1F5B">
        <w:rPr>
          <w:rFonts w:ascii="Arial" w:hAnsi="Arial" w:cs="Arial"/>
          <w:color w:val="000000"/>
          <w:sz w:val="16"/>
          <w:szCs w:val="16"/>
        </w:rPr>
        <w:t xml:space="preserve"> (cinco) anos, sem prejuízo das multas previstas no presente instrumento e das demais cominações legais.</w:t>
      </w:r>
    </w:p>
    <w:p w:rsidR="006A1F5B" w:rsidRPr="006A1F5B" w:rsidRDefault="006A1F5B" w:rsidP="006A1F5B">
      <w:pPr>
        <w:pStyle w:val="textojustificado"/>
        <w:spacing w:before="120" w:beforeAutospacing="0" w:after="120" w:afterAutospacing="0"/>
        <w:ind w:right="120"/>
        <w:jc w:val="both"/>
        <w:rPr>
          <w:rFonts w:ascii="Arial" w:hAnsi="Arial" w:cs="Arial"/>
          <w:color w:val="000000"/>
          <w:sz w:val="16"/>
          <w:szCs w:val="16"/>
        </w:rPr>
      </w:pPr>
      <w:r w:rsidRPr="006A1F5B">
        <w:rPr>
          <w:rStyle w:val="Forte"/>
          <w:rFonts w:ascii="Arial" w:hAnsi="Arial" w:cs="Arial"/>
          <w:color w:val="000000"/>
          <w:sz w:val="16"/>
          <w:szCs w:val="16"/>
        </w:rPr>
        <w:t>9.5.</w:t>
      </w:r>
      <w:r w:rsidRPr="006A1F5B">
        <w:rPr>
          <w:rFonts w:ascii="Arial" w:hAnsi="Arial" w:cs="Arial"/>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363E40" w:rsidRPr="006A1F5B" w:rsidRDefault="00363E40" w:rsidP="006A1F5B">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10. DA UTILIZAÇÃO DA ATA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10.2. É facultada aos órgãos s ou entidades municipais, distritais ou estaduais a adesão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ata de registro de preços da Administração Pública Estadual.</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10.6. Caberá ao órgão que se utilizar da ata, verificar a vantagem econômica da adesão a este Registro de Preço.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11. DA ALTERAÇÃO DA ATA DE REGISTRO DE PREÇOS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6A1F5B">
        <w:rPr>
          <w:rFonts w:ascii="Arial" w:hAnsi="Arial" w:cs="Arial"/>
          <w:color w:val="000000"/>
          <w:sz w:val="16"/>
          <w:szCs w:val="16"/>
        </w:rPr>
        <w:t>93</w:t>
      </w:r>
      <w:proofErr w:type="gramEnd"/>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11.3. Os fornecedores que não aceitarem reduzir seus preços aos valores praticados pelo mercado serão liberados do compromisso assumido, sem aplicação de penalidade.</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11.4. A ordem de classificação dos fornecedores que aceitarem reduzir seus preços aos valores de mercado observará a classificação original.</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11.5. Quando o preço de mercado tornar-se superior aos preços registrados, e o fornecedor não puder cumprir o </w:t>
      </w:r>
      <w:proofErr w:type="gramStart"/>
      <w:r w:rsidRPr="006A1F5B">
        <w:rPr>
          <w:rFonts w:ascii="Arial" w:hAnsi="Arial" w:cs="Arial"/>
          <w:color w:val="000000"/>
          <w:sz w:val="16"/>
          <w:szCs w:val="16"/>
        </w:rPr>
        <w:t>compromisso ,</w:t>
      </w:r>
      <w:proofErr w:type="gramEnd"/>
      <w:r w:rsidRPr="006A1F5B">
        <w:rPr>
          <w:rFonts w:ascii="Arial" w:hAnsi="Arial" w:cs="Arial"/>
          <w:color w:val="000000"/>
          <w:sz w:val="16"/>
          <w:szCs w:val="16"/>
        </w:rPr>
        <w:t xml:space="preserve"> o órgão gerenciador poderá:</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11.5.1. Liberar o fornecedor do compromisso assumido, caso a comunicação ocorra antes do pedido de fornecimento, sem aplicação de penalidade se confirmada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veracidade dos motivos e comprovantes;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11.5.2. Convocar os demais fornecedores para assegurar igual oportunidade de negociação;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11.5.3. Não havendo êxito nas negociações, o órgão gerenciador deverá proceder </w:t>
      </w:r>
      <w:proofErr w:type="gramStart"/>
      <w:r w:rsidRPr="006A1F5B">
        <w:rPr>
          <w:rFonts w:ascii="Arial" w:hAnsi="Arial" w:cs="Arial"/>
          <w:color w:val="000000"/>
          <w:sz w:val="16"/>
          <w:szCs w:val="16"/>
        </w:rPr>
        <w:t>a</w:t>
      </w:r>
      <w:proofErr w:type="gramEnd"/>
      <w:r w:rsidRPr="006A1F5B">
        <w:rPr>
          <w:rFonts w:ascii="Arial" w:hAnsi="Arial" w:cs="Arial"/>
          <w:color w:val="000000"/>
          <w:sz w:val="16"/>
          <w:szCs w:val="16"/>
        </w:rPr>
        <w:t xml:space="preserve"> revogação do item da ata de registro de preços, adotando as medidas cabíveis para obtenção da contratação mais vantajosa.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12. DAS OBRIGAÇÕES DA DETENTORA DO REGISTRO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12.2. Dispor-se a toda e qualquer fiscalização, no tocante ao fornecimento do produto, assim como ao cumprimento das obrigações previstas na ATA;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12.5. Comunicar imediatamente à Administração Pública qualquer alteração ocorrida no endereço, conta bancária e </w:t>
      </w:r>
      <w:proofErr w:type="gramStart"/>
      <w:r w:rsidRPr="006A1F5B">
        <w:rPr>
          <w:rFonts w:ascii="Arial" w:hAnsi="Arial" w:cs="Arial"/>
          <w:color w:val="000000"/>
          <w:sz w:val="16"/>
          <w:szCs w:val="16"/>
        </w:rPr>
        <w:t>outros julgáveis</w:t>
      </w:r>
      <w:proofErr w:type="gramEnd"/>
      <w:r w:rsidRPr="006A1F5B">
        <w:rPr>
          <w:rFonts w:ascii="Arial" w:hAnsi="Arial" w:cs="Arial"/>
          <w:color w:val="000000"/>
          <w:sz w:val="16"/>
          <w:szCs w:val="16"/>
        </w:rPr>
        <w:t xml:space="preserve"> necessários para recebimento de correspondência;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12.6. Respeitar e fazer cumprir a legislação de segurança e saúde no trabalho, previstas nas normas regulamentadoras pertinentes;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lastRenderedPageBreak/>
        <w:t>12.7. Fiscalizar o perfeito cumprimento do fornecimento a que se obrigou, cabendo-lhe, integralmente, os ônus decorrentes. Tal fiscalização dar-se-á independentemente da que será exercida pela Administração Pública.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12.10. Todos os impostos e taxas que forem devidos em decorrência das contratações do objeto do Edital correrão por conta </w:t>
      </w:r>
      <w:proofErr w:type="gramStart"/>
      <w:r w:rsidRPr="006A1F5B">
        <w:rPr>
          <w:rFonts w:ascii="Arial" w:hAnsi="Arial" w:cs="Arial"/>
          <w:color w:val="000000"/>
          <w:sz w:val="16"/>
          <w:szCs w:val="16"/>
        </w:rPr>
        <w:t>exclusiva</w:t>
      </w:r>
      <w:proofErr w:type="gramEnd"/>
      <w:r w:rsidRPr="006A1F5B">
        <w:rPr>
          <w:rFonts w:ascii="Arial" w:hAnsi="Arial" w:cs="Arial"/>
          <w:color w:val="000000"/>
          <w:sz w:val="16"/>
          <w:szCs w:val="16"/>
        </w:rPr>
        <w:t xml:space="preserve"> da contratada;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13. DAS OBRIGAÇÕES DOS ÓRGÃOS REQUISITANTES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13.1. Proporcionar todas as facilidades indispensáveis à boa execução das obrigações contratuais;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13.2. Rejeitar, no todo ou em parte, os objetos desta Ata entregues em desacordo com as obrigações assumidas pelo fornecedor;</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13.3. Notificar a CONTRATADA de qualquer irregularidade encontrada no fornecimento dos objetos desta Ata;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13.4. Efetuar o pagamento à(s) contratada(s) de acordo com as condições de preços e prazos estabelecidos no edital e ata de registro de preços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13.6. Não haverá sob-hipótese alguma, pagamento antecipado.</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14. DOS ÓRGÃOS PARTICIPANTES: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14.1. É participante desta ata o seguinte órgão pertencente à Administração Pública do Estado de Rondônia:</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DER</w:t>
      </w:r>
      <w:r w:rsidRPr="006A1F5B">
        <w:rPr>
          <w:rFonts w:ascii="Arial" w:hAnsi="Arial" w:cs="Arial"/>
          <w:color w:val="000000"/>
          <w:sz w:val="16"/>
          <w:szCs w:val="16"/>
        </w:rPr>
        <w:t xml:space="preserve"> – Departamento de Estradas, Rodagens, Infraestrutura e Serviços </w:t>
      </w:r>
      <w:proofErr w:type="gramStart"/>
      <w:r w:rsidRPr="006A1F5B">
        <w:rPr>
          <w:rFonts w:ascii="Arial" w:hAnsi="Arial" w:cs="Arial"/>
          <w:color w:val="000000"/>
          <w:sz w:val="16"/>
          <w:szCs w:val="16"/>
        </w:rPr>
        <w:t>Públicos</w:t>
      </w:r>
      <w:proofErr w:type="gramEnd"/>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b/>
          <w:bCs/>
          <w:color w:val="000000"/>
          <w:sz w:val="16"/>
          <w:szCs w:val="16"/>
        </w:rPr>
        <w:t>15.  DISPOSIÇÕES GERAIS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15.2. Fica a Detentora ciente que a publicidade da ata de registro de preços na imprensa oficial terá efeito de compromisso nas condições ofertadas e pactuadas na proposta apresentada à licitação.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xml:space="preserve">15.3. A Ata de Registro de Preços, os ajustes dela decorrentes, suas alterações e rescisões obedecerão ao Decreto Estadual 18.340/13, Lei Federal nº </w:t>
      </w:r>
      <w:proofErr w:type="gramStart"/>
      <w:r w:rsidRPr="006A1F5B">
        <w:rPr>
          <w:rFonts w:ascii="Arial" w:hAnsi="Arial" w:cs="Arial"/>
          <w:color w:val="000000"/>
          <w:sz w:val="16"/>
          <w:szCs w:val="16"/>
        </w:rPr>
        <w:t>8.666/93, demais normas</w:t>
      </w:r>
      <w:proofErr w:type="gramEnd"/>
      <w:r w:rsidRPr="006A1F5B">
        <w:rPr>
          <w:rFonts w:ascii="Arial" w:hAnsi="Arial" w:cs="Arial"/>
          <w:color w:val="000000"/>
          <w:sz w:val="16"/>
          <w:szCs w:val="16"/>
        </w:rPr>
        <w:t xml:space="preserve"> complementares e disposições desta Ata e do Edital que a precedeu, aplicáveis à execução e especialmente aos casos omissos.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15.4. Fazem parte integrante desta Ata, para todos os efeitos legais: o Edital de Licitação e seus anexos, bem como, o ANEXO ÚNICO desta ata que contém os preços registrados e respectivos detentores.</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w:t>
      </w:r>
    </w:p>
    <w:p w:rsidR="00363E40" w:rsidRPr="006A1F5B" w:rsidRDefault="00363E40" w:rsidP="00363E40">
      <w:pPr>
        <w:jc w:val="both"/>
        <w:rPr>
          <w:rFonts w:ascii="Arial" w:hAnsi="Arial" w:cs="Arial"/>
          <w:color w:val="000000"/>
          <w:sz w:val="16"/>
          <w:szCs w:val="16"/>
        </w:rPr>
      </w:pPr>
      <w:r w:rsidRPr="006A1F5B">
        <w:rPr>
          <w:rFonts w:ascii="Arial" w:hAnsi="Arial" w:cs="Arial"/>
          <w:color w:val="000000"/>
          <w:sz w:val="16"/>
          <w:szCs w:val="16"/>
        </w:rPr>
        <w:t>        Fica eleito o foro do Município de Porto Velho/RO para dirimir as eventuais controvérsias decorrentes do presente ajuste.</w:t>
      </w:r>
    </w:p>
    <w:p w:rsidR="003A6FF2" w:rsidRDefault="003A6FF2">
      <w:pPr>
        <w:jc w:val="both"/>
        <w:rPr>
          <w:rFonts w:ascii="Arial" w:eastAsia="Arial" w:hAnsi="Arial" w:cs="Arial"/>
          <w:color w:val="000000"/>
          <w:sz w:val="16"/>
          <w:szCs w:val="16"/>
        </w:rPr>
      </w:pPr>
    </w:p>
    <w:p w:rsidR="003A6FF2" w:rsidRDefault="003A6FF2">
      <w:pPr>
        <w:ind w:right="47"/>
        <w:jc w:val="both"/>
        <w:rPr>
          <w:rFonts w:ascii="Arial" w:eastAsia="Arial" w:hAnsi="Arial" w:cs="Arial"/>
          <w:b/>
          <w:color w:val="000000"/>
          <w:sz w:val="16"/>
          <w:szCs w:val="16"/>
        </w:rPr>
      </w:pPr>
    </w:p>
    <w:p w:rsidR="003A6FF2" w:rsidRDefault="00DB3841">
      <w:pPr>
        <w:ind w:right="47"/>
        <w:jc w:val="both"/>
        <w:rPr>
          <w:rFonts w:ascii="Arial" w:eastAsia="Arial" w:hAnsi="Arial" w:cs="Arial"/>
          <w:b/>
          <w:color w:val="000000"/>
          <w:sz w:val="16"/>
          <w:szCs w:val="16"/>
        </w:rPr>
      </w:pPr>
      <w:r>
        <w:rPr>
          <w:rFonts w:ascii="Arial" w:eastAsia="Arial" w:hAnsi="Arial" w:cs="Arial"/>
          <w:b/>
          <w:color w:val="000000"/>
          <w:sz w:val="16"/>
          <w:szCs w:val="16"/>
        </w:rPr>
        <w:t>ÓRGÃO GERENCIADOR:</w:t>
      </w:r>
    </w:p>
    <w:p w:rsidR="003A6FF2" w:rsidRDefault="003A6FF2">
      <w:pPr>
        <w:ind w:right="47"/>
        <w:rPr>
          <w:rFonts w:ascii="Arial" w:eastAsia="Arial" w:hAnsi="Arial" w:cs="Arial"/>
          <w:b/>
          <w:color w:val="000000"/>
          <w:sz w:val="16"/>
          <w:szCs w:val="16"/>
        </w:rPr>
      </w:pPr>
    </w:p>
    <w:p w:rsidR="003A6FF2" w:rsidRDefault="00DB3841">
      <w:pPr>
        <w:ind w:right="47"/>
        <w:rPr>
          <w:rFonts w:ascii="Arial" w:eastAsia="Arial" w:hAnsi="Arial" w:cs="Arial"/>
          <w:b/>
          <w:color w:val="000000"/>
          <w:sz w:val="16"/>
          <w:szCs w:val="16"/>
        </w:rPr>
      </w:pPr>
      <w:r>
        <w:rPr>
          <w:rFonts w:ascii="Arial" w:eastAsia="Arial" w:hAnsi="Arial" w:cs="Arial"/>
          <w:b/>
          <w:color w:val="000000"/>
          <w:sz w:val="16"/>
          <w:szCs w:val="16"/>
        </w:rPr>
        <w:t>MÁRCIO ROGÉRIO GABRIEL</w:t>
      </w:r>
      <w:r>
        <w:rPr>
          <w:rFonts w:ascii="Arial" w:eastAsia="Arial" w:hAnsi="Arial" w:cs="Arial"/>
          <w:b/>
          <w:color w:val="000000"/>
          <w:sz w:val="16"/>
          <w:szCs w:val="16"/>
        </w:rPr>
        <w:tab/>
      </w:r>
      <w:r>
        <w:rPr>
          <w:rFonts w:ascii="Arial" w:eastAsia="Arial" w:hAnsi="Arial" w:cs="Arial"/>
          <w:b/>
          <w:color w:val="000000"/>
          <w:sz w:val="16"/>
          <w:szCs w:val="16"/>
        </w:rPr>
        <w:tab/>
        <w:t>MÁRCIA CARVALHO GUEDES</w:t>
      </w:r>
    </w:p>
    <w:p w:rsidR="003A6FF2" w:rsidRDefault="00DB3841">
      <w:pPr>
        <w:ind w:right="47"/>
        <w:rPr>
          <w:rFonts w:ascii="Arial" w:eastAsia="Arial" w:hAnsi="Arial" w:cs="Arial"/>
          <w:color w:val="000000"/>
          <w:sz w:val="16"/>
          <w:szCs w:val="16"/>
        </w:rPr>
      </w:pPr>
      <w:r>
        <w:rPr>
          <w:rFonts w:ascii="Arial" w:eastAsia="Arial" w:hAnsi="Arial" w:cs="Arial"/>
          <w:color w:val="000000"/>
          <w:sz w:val="16"/>
          <w:szCs w:val="16"/>
        </w:rPr>
        <w:t>Superintendente Estadual de Licitações</w:t>
      </w:r>
      <w:r>
        <w:rPr>
          <w:rFonts w:ascii="Arial" w:eastAsia="Arial" w:hAnsi="Arial" w:cs="Arial"/>
          <w:color w:val="000000"/>
          <w:sz w:val="16"/>
          <w:szCs w:val="16"/>
        </w:rPr>
        <w:tab/>
      </w:r>
      <w:r>
        <w:rPr>
          <w:rFonts w:ascii="Arial" w:eastAsia="Arial" w:hAnsi="Arial" w:cs="Arial"/>
          <w:color w:val="000000"/>
          <w:sz w:val="16"/>
          <w:szCs w:val="16"/>
        </w:rPr>
        <w:tab/>
        <w:t>Coordenadora de Sistema de Registro de Preços</w:t>
      </w:r>
    </w:p>
    <w:p w:rsidR="003A6FF2" w:rsidRDefault="003A6FF2">
      <w:pPr>
        <w:ind w:right="47"/>
        <w:rPr>
          <w:rFonts w:ascii="Arial" w:eastAsia="Arial" w:hAnsi="Arial" w:cs="Arial"/>
          <w:color w:val="000000"/>
          <w:sz w:val="16"/>
          <w:szCs w:val="16"/>
        </w:rPr>
      </w:pPr>
    </w:p>
    <w:p w:rsidR="003A6FF2" w:rsidRDefault="003A6FF2">
      <w:pPr>
        <w:ind w:right="47"/>
        <w:jc w:val="both"/>
        <w:rPr>
          <w:rFonts w:ascii="Arial" w:eastAsia="Arial" w:hAnsi="Arial" w:cs="Arial"/>
          <w:b/>
          <w:color w:val="000000"/>
          <w:sz w:val="16"/>
          <w:szCs w:val="16"/>
        </w:rPr>
      </w:pPr>
    </w:p>
    <w:p w:rsidR="003A6FF2" w:rsidRDefault="00DB3841">
      <w:pPr>
        <w:ind w:right="47"/>
        <w:jc w:val="both"/>
        <w:rPr>
          <w:rFonts w:ascii="Arial" w:eastAsia="Arial" w:hAnsi="Arial" w:cs="Arial"/>
          <w:b/>
          <w:color w:val="000000"/>
          <w:sz w:val="16"/>
          <w:szCs w:val="16"/>
        </w:rPr>
      </w:pPr>
      <w:r>
        <w:rPr>
          <w:rFonts w:ascii="Arial" w:eastAsia="Arial" w:hAnsi="Arial" w:cs="Arial"/>
          <w:b/>
          <w:color w:val="000000"/>
          <w:sz w:val="16"/>
          <w:szCs w:val="16"/>
        </w:rPr>
        <w:t>EMPRESA(S) DETENTORA(S):</w:t>
      </w:r>
    </w:p>
    <w:p w:rsidR="003A6FF2" w:rsidRDefault="00DB3841">
      <w:pPr>
        <w:ind w:right="47"/>
        <w:jc w:val="both"/>
        <w:rPr>
          <w:rFonts w:ascii="Arial" w:eastAsia="Arial" w:hAnsi="Arial" w:cs="Arial"/>
          <w:b/>
          <w:color w:val="000000"/>
          <w:sz w:val="16"/>
          <w:szCs w:val="16"/>
        </w:rPr>
      </w:pPr>
      <w:r>
        <w:rPr>
          <w:rFonts w:ascii="Arial" w:eastAsia="Arial" w:hAnsi="Arial" w:cs="Arial"/>
          <w:b/>
          <w:color w:val="000000"/>
          <w:sz w:val="16"/>
          <w:szCs w:val="16"/>
        </w:rPr>
        <w:t>Qualificada(s) no Anexo Único desta Ata</w:t>
      </w:r>
    </w:p>
    <w:p w:rsidR="003A6FF2" w:rsidRDefault="003A6FF2">
      <w:pPr>
        <w:ind w:right="47"/>
        <w:jc w:val="both"/>
        <w:rPr>
          <w:rFonts w:ascii="Arial" w:eastAsia="Arial" w:hAnsi="Arial" w:cs="Arial"/>
          <w:b/>
          <w:color w:val="000000"/>
          <w:sz w:val="16"/>
          <w:szCs w:val="16"/>
        </w:rPr>
      </w:pPr>
    </w:p>
    <w:p w:rsidR="003A6FF2" w:rsidRDefault="003A6FF2">
      <w:pPr>
        <w:ind w:right="47"/>
        <w:jc w:val="both"/>
        <w:rPr>
          <w:rFonts w:ascii="Arial" w:eastAsia="Arial" w:hAnsi="Arial" w:cs="Arial"/>
          <w:b/>
          <w:color w:val="000000"/>
          <w:sz w:val="16"/>
          <w:szCs w:val="16"/>
        </w:rPr>
      </w:pPr>
    </w:p>
    <w:p w:rsidR="003A6FF2" w:rsidRDefault="006A1F5B">
      <w:pPr>
        <w:ind w:right="47"/>
        <w:jc w:val="both"/>
        <w:rPr>
          <w:rFonts w:ascii="Arial" w:eastAsia="Arial" w:hAnsi="Arial" w:cs="Arial"/>
          <w:b/>
          <w:sz w:val="12"/>
          <w:szCs w:val="12"/>
        </w:rPr>
      </w:pPr>
      <w:bookmarkStart w:id="1" w:name="_GoBack"/>
      <w:bookmarkEnd w:id="1"/>
      <w:r>
        <w:rPr>
          <w:rFonts w:ascii="Arial" w:eastAsia="Arial" w:hAnsi="Arial" w:cs="Arial"/>
          <w:b/>
          <w:sz w:val="12"/>
          <w:szCs w:val="12"/>
        </w:rPr>
        <w:t>CMV</w:t>
      </w:r>
      <w:r w:rsidR="00DB3841">
        <w:rPr>
          <w:rFonts w:ascii="Arial" w:eastAsia="Arial" w:hAnsi="Arial" w:cs="Arial"/>
          <w:b/>
          <w:sz w:val="12"/>
          <w:szCs w:val="12"/>
        </w:rPr>
        <w:t>/SRP</w:t>
      </w:r>
    </w:p>
    <w:sectPr w:rsidR="003A6FF2" w:rsidSect="001D2F5C">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F5B" w:rsidRDefault="006A1F5B">
      <w:r>
        <w:separator/>
      </w:r>
    </w:p>
  </w:endnote>
  <w:endnote w:type="continuationSeparator" w:id="0">
    <w:p w:rsidR="006A1F5B" w:rsidRDefault="006A1F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F5B" w:rsidRDefault="006A1F5B">
      <w:r>
        <w:separator/>
      </w:r>
    </w:p>
  </w:footnote>
  <w:footnote w:type="continuationSeparator" w:id="0">
    <w:p w:rsidR="006A1F5B" w:rsidRDefault="006A1F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F5B" w:rsidRDefault="006A1F5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D04BD"/>
    <w:multiLevelType w:val="multilevel"/>
    <w:tmpl w:val="F594B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C551B7"/>
    <w:multiLevelType w:val="multilevel"/>
    <w:tmpl w:val="46B29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1F7405"/>
    <w:multiLevelType w:val="multilevel"/>
    <w:tmpl w:val="5D32D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6D1613"/>
    <w:multiLevelType w:val="multilevel"/>
    <w:tmpl w:val="2DD6B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9E4BE3"/>
    <w:multiLevelType w:val="multilevel"/>
    <w:tmpl w:val="F0301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6E187E"/>
    <w:multiLevelType w:val="multilevel"/>
    <w:tmpl w:val="8B941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F13AF5"/>
    <w:multiLevelType w:val="multilevel"/>
    <w:tmpl w:val="EF0E8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7A644C"/>
    <w:multiLevelType w:val="multilevel"/>
    <w:tmpl w:val="2722A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AD4202"/>
    <w:multiLevelType w:val="multilevel"/>
    <w:tmpl w:val="204C5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17A2527"/>
    <w:multiLevelType w:val="multilevel"/>
    <w:tmpl w:val="111A5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3858D3"/>
    <w:multiLevelType w:val="multilevel"/>
    <w:tmpl w:val="CB2A9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CE52D64"/>
    <w:multiLevelType w:val="multilevel"/>
    <w:tmpl w:val="FCA01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lvlOverride w:ilvl="0">
      <w:startOverride w:val="2"/>
    </w:lvlOverride>
  </w:num>
  <w:num w:numId="3">
    <w:abstractNumId w:val="9"/>
    <w:lvlOverride w:ilvl="0">
      <w:startOverride w:val="3"/>
    </w:lvlOverride>
  </w:num>
  <w:num w:numId="4">
    <w:abstractNumId w:val="1"/>
    <w:lvlOverride w:ilvl="0">
      <w:startOverride w:val="4"/>
    </w:lvlOverride>
  </w:num>
  <w:num w:numId="5">
    <w:abstractNumId w:val="5"/>
    <w:lvlOverride w:ilvl="0">
      <w:startOverride w:val="5"/>
    </w:lvlOverride>
  </w:num>
  <w:num w:numId="6">
    <w:abstractNumId w:val="2"/>
    <w:lvlOverride w:ilvl="0">
      <w:startOverride w:val="6"/>
    </w:lvlOverride>
  </w:num>
  <w:num w:numId="7">
    <w:abstractNumId w:val="4"/>
    <w:lvlOverride w:ilvl="0">
      <w:startOverride w:val="7"/>
    </w:lvlOverride>
  </w:num>
  <w:num w:numId="8">
    <w:abstractNumId w:val="0"/>
    <w:lvlOverride w:ilvl="0">
      <w:startOverride w:val="8"/>
    </w:lvlOverride>
  </w:num>
  <w:num w:numId="9">
    <w:abstractNumId w:val="7"/>
    <w:lvlOverride w:ilvl="0">
      <w:startOverride w:val="9"/>
    </w:lvlOverride>
  </w:num>
  <w:num w:numId="10">
    <w:abstractNumId w:val="11"/>
    <w:lvlOverride w:ilvl="0">
      <w:startOverride w:val="10"/>
    </w:lvlOverride>
  </w:num>
  <w:num w:numId="11">
    <w:abstractNumId w:val="8"/>
    <w:lvlOverride w:ilvl="0">
      <w:startOverride w:val="11"/>
    </w:lvlOverride>
  </w:num>
  <w:num w:numId="12">
    <w:abstractNumId w:val="3"/>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3A6FF2"/>
    <w:rsid w:val="001D2F5C"/>
    <w:rsid w:val="00363E40"/>
    <w:rsid w:val="003A6FF2"/>
    <w:rsid w:val="00646CC2"/>
    <w:rsid w:val="006A1F5B"/>
    <w:rsid w:val="006C0976"/>
    <w:rsid w:val="00DB3841"/>
    <w:rsid w:val="00F03EFE"/>
    <w:rsid w:val="00FB125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rsid w:val="001D2F5C"/>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1D2F5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1D2F5C"/>
    <w:tblPr>
      <w:tblCellMar>
        <w:top w:w="0" w:type="dxa"/>
        <w:left w:w="0" w:type="dxa"/>
        <w:bottom w:w="0" w:type="dxa"/>
        <w:right w:w="0" w:type="dxa"/>
      </w:tblCellMar>
    </w:tblPr>
  </w:style>
  <w:style w:type="table" w:customStyle="1" w:styleId="TableNormal1">
    <w:name w:val="Table Normal"/>
    <w:rsid w:val="001D2F5C"/>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2">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pPr>
    <w:rPr>
      <w:color w:val="000000"/>
      <w:sz w:val="24"/>
      <w:szCs w:val="24"/>
    </w:rPr>
  </w:style>
  <w:style w:type="paragraph" w:styleId="Subttulo">
    <w:name w:val="Subtitle"/>
    <w:basedOn w:val="Normal"/>
    <w:next w:val="Normal"/>
    <w:rsid w:val="001D2F5C"/>
    <w:pPr>
      <w:keepNext/>
      <w:keepLines/>
      <w:spacing w:before="360" w:after="80"/>
    </w:pPr>
    <w:rPr>
      <w:rFonts w:ascii="Georgia" w:eastAsia="Georgia" w:hAnsi="Georgia" w:cs="Georgia"/>
      <w:i/>
      <w:color w:val="666666"/>
      <w:sz w:val="48"/>
      <w:szCs w:val="48"/>
    </w:rPr>
  </w:style>
  <w:style w:type="table" w:customStyle="1" w:styleId="a">
    <w:basedOn w:val="TableNormal2"/>
    <w:rsid w:val="001D2F5C"/>
    <w:tblPr>
      <w:tblStyleRowBandSize w:val="1"/>
      <w:tblStyleColBandSize w:val="1"/>
      <w:tblInd w:w="0" w:type="dxa"/>
      <w:tblCellMar>
        <w:top w:w="100" w:type="dxa"/>
        <w:left w:w="100" w:type="dxa"/>
        <w:bottom w:w="100" w:type="dxa"/>
        <w:right w:w="100" w:type="dxa"/>
      </w:tblCellMar>
    </w:tblPr>
  </w:style>
  <w:style w:type="table" w:customStyle="1" w:styleId="a0">
    <w:basedOn w:val="TableNormal2"/>
    <w:rsid w:val="001D2F5C"/>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620838401">
      <w:bodyDiv w:val="1"/>
      <w:marLeft w:val="0"/>
      <w:marRight w:val="0"/>
      <w:marTop w:val="0"/>
      <w:marBottom w:val="0"/>
      <w:divBdr>
        <w:top w:val="none" w:sz="0" w:space="0" w:color="auto"/>
        <w:left w:val="none" w:sz="0" w:space="0" w:color="auto"/>
        <w:bottom w:val="none" w:sz="0" w:space="0" w:color="auto"/>
        <w:right w:val="none" w:sz="0" w:space="0" w:color="auto"/>
      </w:divBdr>
    </w:div>
    <w:div w:id="1731267947">
      <w:bodyDiv w:val="1"/>
      <w:marLeft w:val="0"/>
      <w:marRight w:val="0"/>
      <w:marTop w:val="0"/>
      <w:marBottom w:val="0"/>
      <w:divBdr>
        <w:top w:val="none" w:sz="0" w:space="0" w:color="auto"/>
        <w:left w:val="none" w:sz="0" w:space="0" w:color="auto"/>
        <w:bottom w:val="none" w:sz="0" w:space="0" w:color="auto"/>
        <w:right w:val="none" w:sz="0" w:space="0" w:color="auto"/>
      </w:divBdr>
    </w:div>
    <w:div w:id="2104521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yBm8pU4qZhvQW8k9GH/w4jcXSw==">AMUW2mUMlcut7VliNze86JlMkAsbor4lZhDR8o4gWnKzE79B5++tRernO6kde0sThloBZQ5vMK9NQvygF60+Id3erqZKGh2eH+TXDkOpCF381PsHhQFXtWPGibaRGGi6CVig3z34e0lm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2730</Words>
  <Characters>14744</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3</cp:revision>
  <dcterms:created xsi:type="dcterms:W3CDTF">2020-07-28T14:34:00Z</dcterms:created>
  <dcterms:modified xsi:type="dcterms:W3CDTF">2020-07-28T14:49:00Z</dcterms:modified>
</cp:coreProperties>
</file>