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4"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bookmarkStart w:colFirst="0" w:colLast="0" w:name="_heading=h.30j0zll" w:id="1"/>
      <w:bookmarkEnd w:id="1"/>
      <w:r w:rsidDel="00000000" w:rsidR="00000000" w:rsidRPr="00000000">
        <w:rPr>
          <w:rFonts w:ascii="Arial" w:cs="Arial" w:eastAsia="Arial" w:hAnsi="Arial"/>
          <w:b w:val="1"/>
          <w:sz w:val="16"/>
          <w:szCs w:val="16"/>
          <w:rtl w:val="0"/>
        </w:rPr>
        <w:t xml:space="preserve">ATA DE REGISTRO DE PREÇOS: N° 195/2020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333/2020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0022.093956/2020-41</w:t>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Pelo presente instrumento, o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ESTADO DE RONDÔNIA</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REGISTRAR O PREÇO</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para futura e eventual aquisição de Cartucho Toners (modelo CE255X e outros) , em atendimento as necessidades da Superintendência de Polícia Técnico Científica - POLITEC</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por um período de 12 (doze)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REGISTRO DE PREÇO para futura e eventual aquisição de Cartucho Toners (modelo CE255X e outros) , em atendimento as necessidades da Superintendência de Polícia Técnico Científica - POLITEC.</w:t>
      </w: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PRAZO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DE</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ENTREGA</w:t>
      </w:r>
      <w:r w:rsidDel="00000000" w:rsidR="00000000" w:rsidRPr="00000000">
        <w:rPr>
          <w:rFonts w:ascii="Arial" w:cs="Arial" w:eastAsia="Arial" w:hAnsi="Arial"/>
          <w:sz w:val="16"/>
          <w:szCs w:val="16"/>
          <w:rtl w:val="0"/>
        </w:rPr>
        <w:t xml:space="preserve">: Os materiais constantes da ordem de fornecimento com definição de quantitativo deverão ser entregues, em até 30 (trinta) dias, após o recebimento da nota de empenho.</w:t>
      </w:r>
      <w:r w:rsidDel="00000000" w:rsidR="00000000" w:rsidRPr="00000000">
        <w:rPr>
          <w:rtl w:val="0"/>
        </w:rPr>
      </w:r>
    </w:p>
    <w:p w:rsidR="00000000" w:rsidDel="00000000" w:rsidP="00000000" w:rsidRDefault="00000000" w:rsidRPr="00000000" w14:paraId="00000025">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6.4.</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LOCAL/HORÁRIO DE ENTREGA: </w:t>
      </w:r>
      <w:r w:rsidDel="00000000" w:rsidR="00000000" w:rsidRPr="00000000">
        <w:rPr>
          <w:rFonts w:ascii="Arial" w:cs="Arial" w:eastAsia="Arial" w:hAnsi="Arial"/>
          <w:sz w:val="16"/>
          <w:szCs w:val="16"/>
          <w:rtl w:val="0"/>
        </w:rPr>
        <w:t xml:space="preserve">O(s) objeto(s) deverá(ão) ser entregue(s) no seguinte endereço: NÚCLEO DE ALMOXARIFADO E PATRIMÔNIO/NAP da Superintendência de Polícia Técnico-Científica/POLITEC, situada à Av Pinheiro Machado, 1858, Bairro SãoCristóvão – CEP 76.804-080 –Telefone: (69) 3216-8994. Porto Velho - Rondônia, onde serão recebidos por comissão de recebimento provisório e definitivo, especialmente designada. Sendo o frete, carga e descarga dos materiais adquiridos por conta da contratada até o local indicado.</w:t>
      </w:r>
    </w:p>
    <w:p w:rsidR="00000000" w:rsidDel="00000000" w:rsidP="00000000" w:rsidRDefault="00000000" w:rsidRPr="00000000" w14:paraId="00000026">
      <w:pP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7">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2">
      <w:pP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33">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9.1. </w:t>
      </w:r>
      <w:r w:rsidDel="00000000" w:rsidR="00000000" w:rsidRPr="00000000">
        <w:rPr>
          <w:rFonts w:ascii="Arial" w:cs="Arial" w:eastAsia="Arial" w:hAnsi="Arial"/>
          <w:sz w:val="16"/>
          <w:szCs w:val="16"/>
          <w:rtl w:val="0"/>
        </w:rPr>
        <w:t xml:space="preserve">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000000" w:rsidDel="00000000" w:rsidP="00000000" w:rsidRDefault="00000000" w:rsidRPr="00000000" w14:paraId="00000034">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9.2. </w:t>
      </w:r>
      <w:r w:rsidDel="00000000" w:rsidR="00000000" w:rsidRPr="00000000">
        <w:rPr>
          <w:rFonts w:ascii="Arial" w:cs="Arial" w:eastAsia="Arial" w:hAnsi="Arial"/>
          <w:sz w:val="16"/>
          <w:szCs w:val="16"/>
          <w:rtl w:val="0"/>
        </w:rPr>
        <w:t xml:space="preserve">Se a futura contratada recusar-se a não apresentar situação regular na ocasião dos recebimentos, garantida a prévia e ampla defesa, aplicar à Contratada multa de até 10% (dez por cento) sobre o valor adjudicado. </w:t>
      </w:r>
    </w:p>
    <w:p w:rsidR="00000000" w:rsidDel="00000000" w:rsidP="00000000" w:rsidRDefault="00000000" w:rsidRPr="00000000" w14:paraId="00000035">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9.3. </w:t>
      </w:r>
      <w:r w:rsidDel="00000000" w:rsidR="00000000" w:rsidRPr="00000000">
        <w:rPr>
          <w:rFonts w:ascii="Arial" w:cs="Arial" w:eastAsia="Arial" w:hAnsi="Arial"/>
          <w:sz w:val="16"/>
          <w:szCs w:val="16"/>
          <w:rtl w:val="0"/>
        </w:rPr>
        <w:t xml:space="preserve">A licitante, adjudicatária ou contratada que, convocada dentro do prazo de validade de sua proposta, não cumprir com as obrigações deste termo,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noCadastro de Fornecedores Estadual, pelo prazo de até 05 (cinco) anos, sem prejuízo das multas previstas no Edital e das demais cominações legais, devendo ser incluída a penalidade no SICAFI e no CAGEFIMP, Cadastro Estadual de Fornecedores Impedidos de Licitar, os seus efeitos recaem apenas na esfera administrativa do órgão que a aplicou.</w:t>
      </w:r>
    </w:p>
    <w:p w:rsidR="00000000" w:rsidDel="00000000" w:rsidP="00000000" w:rsidRDefault="00000000" w:rsidRPr="00000000" w14:paraId="00000036">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9.4.</w:t>
      </w:r>
      <w:r w:rsidDel="00000000" w:rsidR="00000000" w:rsidRPr="00000000">
        <w:rPr>
          <w:rFonts w:ascii="Arial" w:cs="Arial" w:eastAsia="Arial" w:hAnsi="Arial"/>
          <w:sz w:val="16"/>
          <w:szCs w:val="16"/>
          <w:rtl w:val="0"/>
        </w:rPr>
        <w:t xml:space="preserve">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7">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9.5.</w:t>
      </w:r>
      <w:r w:rsidDel="00000000" w:rsidR="00000000" w:rsidRPr="00000000">
        <w:rPr>
          <w:rFonts w:ascii="Arial" w:cs="Arial" w:eastAsia="Arial" w:hAnsi="Arial"/>
          <w:sz w:val="16"/>
          <w:szCs w:val="16"/>
          <w:rtl w:val="0"/>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000000" w:rsidDel="00000000" w:rsidP="00000000" w:rsidRDefault="00000000" w:rsidRPr="00000000" w14:paraId="00000038">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9.6.</w:t>
      </w:r>
      <w:r w:rsidDel="00000000" w:rsidR="00000000" w:rsidRPr="00000000">
        <w:rPr>
          <w:rFonts w:ascii="Arial" w:cs="Arial" w:eastAsia="Arial" w:hAnsi="Arial"/>
          <w:sz w:val="16"/>
          <w:szCs w:val="16"/>
          <w:rtl w:val="0"/>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 </w:t>
      </w:r>
    </w:p>
    <w:p w:rsidR="00000000" w:rsidDel="00000000" w:rsidP="00000000" w:rsidRDefault="00000000" w:rsidRPr="00000000" w14:paraId="00000039">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9.7.</w:t>
      </w:r>
      <w:r w:rsidDel="00000000" w:rsidR="00000000" w:rsidRPr="00000000">
        <w:rPr>
          <w:rFonts w:ascii="Arial" w:cs="Arial" w:eastAsia="Arial" w:hAnsi="Arial"/>
          <w:sz w:val="16"/>
          <w:szCs w:val="16"/>
          <w:rtl w:val="0"/>
        </w:rPr>
        <w:t xml:space="preserve"> São exemplos de infração administrativa penalizáveis, nos termos da Lei nº 8.666, de 1993, da Lei nº 10.520, de 2002, do Decreto nº 3.555, de 2000, e do DECRETO nº 10.024 de 20 de setembro de 2019: </w:t>
      </w:r>
    </w:p>
    <w:p w:rsidR="00000000" w:rsidDel="00000000" w:rsidP="00000000" w:rsidRDefault="00000000" w:rsidRPr="00000000" w14:paraId="0000003A">
      <w:pPr>
        <w:rPr>
          <w:rFonts w:ascii="Arial" w:cs="Arial" w:eastAsia="Arial" w:hAnsi="Arial"/>
          <w:sz w:val="16"/>
          <w:szCs w:val="16"/>
        </w:rPr>
      </w:pPr>
      <w:r w:rsidDel="00000000" w:rsidR="00000000" w:rsidRPr="00000000">
        <w:rPr>
          <w:rFonts w:ascii="Arial" w:cs="Arial" w:eastAsia="Arial" w:hAnsi="Arial"/>
          <w:sz w:val="16"/>
          <w:szCs w:val="16"/>
          <w:rtl w:val="0"/>
        </w:rPr>
        <w:t xml:space="preserve">a) Apresentação de documentação falsa; </w:t>
      </w:r>
    </w:p>
    <w:p w:rsidR="00000000" w:rsidDel="00000000" w:rsidP="00000000" w:rsidRDefault="00000000" w:rsidRPr="00000000" w14:paraId="0000003B">
      <w:pPr>
        <w:rPr>
          <w:rFonts w:ascii="Arial" w:cs="Arial" w:eastAsia="Arial" w:hAnsi="Arial"/>
          <w:sz w:val="16"/>
          <w:szCs w:val="16"/>
        </w:rPr>
      </w:pPr>
      <w:r w:rsidDel="00000000" w:rsidR="00000000" w:rsidRPr="00000000">
        <w:rPr>
          <w:rFonts w:ascii="Arial" w:cs="Arial" w:eastAsia="Arial" w:hAnsi="Arial"/>
          <w:sz w:val="16"/>
          <w:szCs w:val="16"/>
          <w:rtl w:val="0"/>
        </w:rPr>
        <w:t xml:space="preserve">b) Comportamento inidôneo; </w:t>
      </w:r>
    </w:p>
    <w:p w:rsidR="00000000" w:rsidDel="00000000" w:rsidP="00000000" w:rsidRDefault="00000000" w:rsidRPr="00000000" w14:paraId="0000003C">
      <w:pPr>
        <w:rPr>
          <w:rFonts w:ascii="Arial" w:cs="Arial" w:eastAsia="Arial" w:hAnsi="Arial"/>
          <w:sz w:val="16"/>
          <w:szCs w:val="16"/>
        </w:rPr>
      </w:pPr>
      <w:r w:rsidDel="00000000" w:rsidR="00000000" w:rsidRPr="00000000">
        <w:rPr>
          <w:rFonts w:ascii="Arial" w:cs="Arial" w:eastAsia="Arial" w:hAnsi="Arial"/>
          <w:sz w:val="16"/>
          <w:szCs w:val="16"/>
          <w:rtl w:val="0"/>
        </w:rPr>
        <w:t xml:space="preserve">c) Fraude fiscal; </w:t>
      </w:r>
    </w:p>
    <w:p w:rsidR="00000000" w:rsidDel="00000000" w:rsidP="00000000" w:rsidRDefault="00000000" w:rsidRPr="00000000" w14:paraId="0000003D">
      <w:pPr>
        <w:rPr>
          <w:rFonts w:ascii="Arial" w:cs="Arial" w:eastAsia="Arial" w:hAnsi="Arial"/>
          <w:sz w:val="16"/>
          <w:szCs w:val="16"/>
        </w:rPr>
      </w:pPr>
      <w:r w:rsidDel="00000000" w:rsidR="00000000" w:rsidRPr="00000000">
        <w:rPr>
          <w:rFonts w:ascii="Arial" w:cs="Arial" w:eastAsia="Arial" w:hAnsi="Arial"/>
          <w:sz w:val="16"/>
          <w:szCs w:val="16"/>
          <w:rtl w:val="0"/>
        </w:rPr>
        <w:t xml:space="preserve">d) Descumprimento de qualquer dos deveres elencados no Edital. </w:t>
      </w:r>
    </w:p>
    <w:p w:rsidR="00000000" w:rsidDel="00000000" w:rsidP="00000000" w:rsidRDefault="00000000" w:rsidRPr="00000000" w14:paraId="0000003E">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9.8. </w:t>
      </w:r>
      <w:r w:rsidDel="00000000" w:rsidR="00000000" w:rsidRPr="00000000">
        <w:rPr>
          <w:rFonts w:ascii="Arial" w:cs="Arial" w:eastAsia="Arial" w:hAnsi="Arial"/>
          <w:sz w:val="16"/>
          <w:szCs w:val="16"/>
          <w:rtl w:val="0"/>
        </w:rPr>
        <w:t xml:space="preserve">As sanções serão aplicadas sem prejuízo da responsabilidade civil e criminal que possa ser acionada em desfavor da CONTRATADA, conforme infração cometida e prejuízos causados à administração ou à terceiros. </w:t>
      </w:r>
    </w:p>
    <w:p w:rsidR="00000000" w:rsidDel="00000000" w:rsidP="00000000" w:rsidRDefault="00000000" w:rsidRPr="00000000" w14:paraId="0000003F">
      <w:pPr>
        <w:rPr>
          <w:rFonts w:ascii="Arial" w:cs="Arial" w:eastAsia="Arial" w:hAnsi="Arial"/>
          <w:sz w:val="16"/>
          <w:szCs w:val="16"/>
        </w:rPr>
      </w:pPr>
      <w:r w:rsidDel="00000000" w:rsidR="00000000" w:rsidRPr="00000000">
        <w:rPr>
          <w:rFonts w:ascii="Arial" w:cs="Arial" w:eastAsia="Arial" w:hAnsi="Arial"/>
          <w:sz w:val="16"/>
          <w:szCs w:val="16"/>
          <w:rtl w:val="0"/>
        </w:rPr>
        <w:t xml:space="preserve">Para efeito de aplicação de multas, às infrações são atribuídos graus, com percentuais de multa conforme a tabela a seguir, que elenca apenas as principais situações previstas, não eximindo de outras equivalentes que surgirem, conforme o caso:</w:t>
      </w:r>
    </w:p>
    <w:p w:rsidR="00000000" w:rsidDel="00000000" w:rsidP="00000000" w:rsidRDefault="00000000" w:rsidRPr="00000000" w14:paraId="00000040">
      <w:pPr>
        <w:rPr>
          <w:rFonts w:ascii="Arial" w:cs="Arial" w:eastAsia="Arial" w:hAnsi="Arial"/>
          <w:b w:val="1"/>
          <w:sz w:val="16"/>
          <w:szCs w:val="16"/>
        </w:rPr>
      </w:pPr>
      <w:r w:rsidDel="00000000" w:rsidR="00000000" w:rsidRPr="00000000">
        <w:rPr>
          <w:rtl w:val="0"/>
        </w:rPr>
      </w:r>
    </w:p>
    <w:tbl>
      <w:tblPr>
        <w:tblStyle w:val="Table1"/>
        <w:tblW w:w="987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55"/>
        <w:gridCol w:w="6945"/>
        <w:gridCol w:w="735"/>
        <w:gridCol w:w="1335"/>
        <w:tblGridChange w:id="0">
          <w:tblGrid>
            <w:gridCol w:w="855"/>
            <w:gridCol w:w="6945"/>
            <w:gridCol w:w="735"/>
            <w:gridCol w:w="1335"/>
          </w:tblGrid>
        </w:tblGridChange>
      </w:tblGrid>
      <w:tr>
        <w:trPr>
          <w:trHeight w:val="375" w:hRule="atLeast"/>
        </w:trPr>
        <w:tc>
          <w:tcPr>
            <w:tcMar>
              <w:top w:w="100.0" w:type="dxa"/>
              <w:left w:w="100.0" w:type="dxa"/>
              <w:bottom w:w="100.0" w:type="dxa"/>
              <w:right w:w="100.0" w:type="dxa"/>
            </w:tcMar>
            <w:vAlign w:val="top"/>
          </w:tcPr>
          <w:p w:rsidR="00000000" w:rsidDel="00000000" w:rsidP="00000000" w:rsidRDefault="00000000" w:rsidRPr="00000000" w14:paraId="00000041">
            <w:pPr>
              <w:spacing w:after="0" w:before="0" w:lineRule="auto"/>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2">
            <w:pPr>
              <w:spacing w:after="0" w:before="0" w:lineRule="auto"/>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3">
            <w:pPr>
              <w:spacing w:after="0" w:before="0" w:lineRule="auto"/>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4">
            <w:pPr>
              <w:spacing w:after="0" w:before="0" w:lineRule="auto"/>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360" w:hRule="atLeast"/>
        </w:trPr>
        <w:tc>
          <w:tcPr>
            <w:tcMar>
              <w:top w:w="100.0" w:type="dxa"/>
              <w:left w:w="100.0" w:type="dxa"/>
              <w:bottom w:w="100.0" w:type="dxa"/>
              <w:right w:w="100.0" w:type="dxa"/>
            </w:tcMar>
            <w:vAlign w:val="top"/>
          </w:tcPr>
          <w:p w:rsidR="00000000" w:rsidDel="00000000" w:rsidP="00000000" w:rsidRDefault="00000000" w:rsidRPr="00000000" w14:paraId="00000045">
            <w:pPr>
              <w:spacing w:after="0" w:before="0" w:lineRule="auto"/>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46">
            <w:pPr>
              <w:spacing w:after="0" w:before="0" w:lineRule="auto"/>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47">
            <w:pPr>
              <w:spacing w:after="0" w:before="0" w:lineRule="auto"/>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8">
            <w:pPr>
              <w:spacing w:after="0" w:before="0" w:lineRule="auto"/>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4,0 % por dia</w:t>
            </w:r>
          </w:p>
        </w:tc>
      </w:tr>
      <w:tr>
        <w:trPr>
          <w:trHeight w:val="225" w:hRule="atLeast"/>
        </w:trPr>
        <w:tc>
          <w:tcPr>
            <w:tcMar>
              <w:top w:w="100.0" w:type="dxa"/>
              <w:left w:w="100.0" w:type="dxa"/>
              <w:bottom w:w="100.0" w:type="dxa"/>
              <w:right w:w="100.0" w:type="dxa"/>
            </w:tcMar>
            <w:vAlign w:val="top"/>
          </w:tcPr>
          <w:p w:rsidR="00000000" w:rsidDel="00000000" w:rsidP="00000000" w:rsidRDefault="00000000" w:rsidRPr="00000000" w14:paraId="00000049">
            <w:pPr>
              <w:spacing w:after="0" w:before="0" w:lineRule="auto"/>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4A">
            <w:pPr>
              <w:spacing w:after="0" w:before="0" w:lineRule="auto"/>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quem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4B">
            <w:pPr>
              <w:spacing w:after="0" w:before="0" w:lineRule="auto"/>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C">
            <w:pPr>
              <w:spacing w:after="0" w:before="0" w:lineRule="auto"/>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4,0 % por dia</w:t>
            </w:r>
          </w:p>
        </w:tc>
      </w:tr>
      <w:tr>
        <w:trPr>
          <w:trHeight w:val="165" w:hRule="atLeast"/>
        </w:trPr>
        <w:tc>
          <w:tcPr>
            <w:tcMar>
              <w:top w:w="100.0" w:type="dxa"/>
              <w:left w:w="100.0" w:type="dxa"/>
              <w:bottom w:w="100.0" w:type="dxa"/>
              <w:right w:w="100.0" w:type="dxa"/>
            </w:tcMar>
            <w:vAlign w:val="top"/>
          </w:tcPr>
          <w:p w:rsidR="00000000" w:rsidDel="00000000" w:rsidP="00000000" w:rsidRDefault="00000000" w:rsidRPr="00000000" w14:paraId="0000004D">
            <w:pPr>
              <w:spacing w:after="0" w:before="0" w:lineRule="auto"/>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4E">
            <w:pPr>
              <w:spacing w:after="0" w:before="0" w:lineRule="auto"/>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4F">
            <w:pPr>
              <w:spacing w:after="0" w:before="0" w:lineRule="auto"/>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0">
            <w:pPr>
              <w:spacing w:after="0" w:before="0" w:lineRule="auto"/>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 por dia</w:t>
            </w:r>
          </w:p>
        </w:tc>
      </w:tr>
      <w:tr>
        <w:trPr>
          <w:trHeight w:val="485" w:hRule="atLeast"/>
        </w:trPr>
        <w:tc>
          <w:tcPr>
            <w:gridSpan w:val="4"/>
            <w:tcMar>
              <w:top w:w="100.0" w:type="dxa"/>
              <w:left w:w="100.0" w:type="dxa"/>
              <w:bottom w:w="100.0" w:type="dxa"/>
              <w:right w:w="100.0" w:type="dxa"/>
            </w:tcMar>
            <w:vAlign w:val="top"/>
          </w:tcPr>
          <w:p w:rsidR="00000000" w:rsidDel="00000000" w:rsidP="00000000" w:rsidRDefault="00000000" w:rsidRPr="00000000" w14:paraId="00000051">
            <w:pPr>
              <w:spacing w:after="0" w:before="0" w:lineRule="auto"/>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7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spacing w:after="0" w:before="0" w:lineRule="auto"/>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spacing w:after="0" w:before="0" w:lineRule="auto"/>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spacing w:after="0" w:before="0" w:lineRule="auto"/>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spacing w:after="0" w:before="0" w:lineRule="auto"/>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 por dia</w:t>
            </w:r>
          </w:p>
        </w:tc>
      </w:tr>
      <w:tr>
        <w:trPr>
          <w:trHeight w:val="43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spacing w:after="0" w:before="0" w:lineRule="auto"/>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spacing w:after="0" w:before="0" w:lineRule="auto"/>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spacing w:after="0" w:before="0" w:lineRule="auto"/>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spacing w:after="0" w:before="0" w:lineRule="auto"/>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 por dia</w:t>
            </w:r>
          </w:p>
        </w:tc>
      </w:tr>
      <w:tr>
        <w:trPr>
          <w:trHeight w:val="40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spacing w:after="0" w:before="0" w:lineRule="auto"/>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spacing w:after="0" w:before="0" w:lineRule="auto"/>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spacing w:after="0" w:before="0" w:lineRule="auto"/>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spacing w:after="0" w:before="0" w:lineRule="auto"/>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0,2 % por dia</w:t>
            </w:r>
          </w:p>
        </w:tc>
      </w:tr>
    </w:tbl>
    <w:p w:rsidR="00000000" w:rsidDel="00000000" w:rsidP="00000000" w:rsidRDefault="00000000" w:rsidRPr="00000000" w14:paraId="00000061">
      <w:pPr>
        <w:spacing w:after="0" w:before="0" w:lineRule="auto"/>
        <w:ind w:left="60" w:right="6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 Incidente sobre a parcela inadimplida.</w:t>
      </w:r>
    </w:p>
    <w:p w:rsidR="00000000" w:rsidDel="00000000" w:rsidP="00000000" w:rsidRDefault="00000000" w:rsidRPr="00000000" w14:paraId="00000062">
      <w:pP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63">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w:t>
      </w:r>
      <w:r w:rsidDel="00000000" w:rsidR="00000000" w:rsidRPr="00000000">
        <w:rPr>
          <w:rFonts w:ascii="Arial" w:cs="Arial" w:eastAsia="Arial" w:hAnsi="Arial"/>
          <w:sz w:val="16"/>
          <w:szCs w:val="16"/>
          <w:rtl w:val="0"/>
        </w:rPr>
        <w:t xml:space="preserve"> As sanções aqui previstas poderão ser aplicadas concomitantemente, facultada a defesa prévia do interessado, no respectivo processo, no prazo de 05 (cinco) dias úteis. </w:t>
      </w:r>
    </w:p>
    <w:p w:rsidR="00000000" w:rsidDel="00000000" w:rsidP="00000000" w:rsidRDefault="00000000" w:rsidRPr="00000000" w14:paraId="00000064">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w:t>
      </w:r>
      <w:r w:rsidDel="00000000" w:rsidR="00000000" w:rsidRPr="00000000">
        <w:rPr>
          <w:rFonts w:ascii="Arial" w:cs="Arial" w:eastAsia="Arial" w:hAnsi="Arial"/>
          <w:sz w:val="16"/>
          <w:szCs w:val="16"/>
          <w:rtl w:val="0"/>
        </w:rPr>
        <w:t xml:space="preserve"> Após 30 (trinta) dias da falta de execução do objeto, será considerada inexecução total do serviço, o que ensejará a rescisão do objeto. </w:t>
      </w:r>
    </w:p>
    <w:p w:rsidR="00000000" w:rsidDel="00000000" w:rsidP="00000000" w:rsidRDefault="00000000" w:rsidRPr="00000000" w14:paraId="00000065">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w:t>
      </w:r>
      <w:r w:rsidDel="00000000" w:rsidR="00000000" w:rsidRPr="00000000">
        <w:rPr>
          <w:rFonts w:ascii="Arial" w:cs="Arial" w:eastAsia="Arial" w:hAnsi="Arial"/>
          <w:sz w:val="16"/>
          <w:szCs w:val="16"/>
          <w:rtl w:val="0"/>
        </w:rPr>
        <w:t xml:space="preserve"> As sanções de natureza pecuniária serão diretamente descontadas de créditos que eventualmente detenha a CONTRATADA ou efetuada a sua cobrança na forma prevista em lei. </w:t>
      </w:r>
    </w:p>
    <w:p w:rsidR="00000000" w:rsidDel="00000000" w:rsidP="00000000" w:rsidRDefault="00000000" w:rsidRPr="00000000" w14:paraId="00000066">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w:t>
      </w:r>
      <w:r w:rsidDel="00000000" w:rsidR="00000000" w:rsidRPr="00000000">
        <w:rPr>
          <w:rFonts w:ascii="Arial" w:cs="Arial" w:eastAsia="Arial" w:hAnsi="Arial"/>
          <w:sz w:val="16"/>
          <w:szCs w:val="16"/>
          <w:rtl w:val="0"/>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000000" w:rsidDel="00000000" w:rsidP="00000000" w:rsidRDefault="00000000" w:rsidRPr="00000000" w14:paraId="00000067">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w:t>
      </w:r>
      <w:r w:rsidDel="00000000" w:rsidR="00000000" w:rsidRPr="00000000">
        <w:rPr>
          <w:rFonts w:ascii="Arial" w:cs="Arial" w:eastAsia="Arial" w:hAnsi="Arial"/>
          <w:sz w:val="16"/>
          <w:szCs w:val="16"/>
          <w:rtl w:val="0"/>
        </w:rPr>
        <w:t xml:space="preserve"> A autoridade competente, na aplicação das sanções; levará em consideração a gravidade da conduta do infrator, o caráter educativo da pena, bem como o dano causado à Administração, observando o princípio da proporcionalidade. </w:t>
      </w:r>
    </w:p>
    <w:p w:rsidR="00000000" w:rsidDel="00000000" w:rsidP="00000000" w:rsidRDefault="00000000" w:rsidRPr="00000000" w14:paraId="00000068">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w:t>
      </w:r>
      <w:r w:rsidDel="00000000" w:rsidR="00000000" w:rsidRPr="00000000">
        <w:rPr>
          <w:rFonts w:ascii="Arial" w:cs="Arial" w:eastAsia="Arial" w:hAnsi="Arial"/>
          <w:sz w:val="16"/>
          <w:szCs w:val="16"/>
          <w:rtl w:val="0"/>
        </w:rPr>
        <w:t xml:space="preserve"> A sanção será obrigatoriamente registrada no Sistema de Cadastramento Unificado de Fornecedores – SICAF, bem como em sistemas Estaduais. </w:t>
      </w:r>
    </w:p>
    <w:p w:rsidR="00000000" w:rsidDel="00000000" w:rsidP="00000000" w:rsidRDefault="00000000" w:rsidRPr="00000000" w14:paraId="00000069">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w:t>
      </w:r>
      <w:r w:rsidDel="00000000" w:rsidR="00000000" w:rsidRPr="00000000">
        <w:rPr>
          <w:rFonts w:ascii="Arial" w:cs="Arial" w:eastAsia="Arial" w:hAnsi="Arial"/>
          <w:sz w:val="16"/>
          <w:szCs w:val="16"/>
          <w:rtl w:val="0"/>
        </w:rPr>
        <w:t xml:space="preserve"> Também ficam sujeitas às penalidades de suspensão de licitar e impedimento de contratar com órgão licitante e de declaração de inidoneidade, previstas nos subitens anteriores, as empresas ou profissionais que, em razão do acordo decorrente dessa licitação: </w:t>
      </w:r>
    </w:p>
    <w:p w:rsidR="00000000" w:rsidDel="00000000" w:rsidP="00000000" w:rsidRDefault="00000000" w:rsidRPr="00000000" w14:paraId="0000006A">
      <w:pPr>
        <w:rPr>
          <w:rFonts w:ascii="Arial" w:cs="Arial" w:eastAsia="Arial" w:hAnsi="Arial"/>
          <w:sz w:val="16"/>
          <w:szCs w:val="16"/>
        </w:rPr>
      </w:pPr>
      <w:r w:rsidDel="00000000" w:rsidR="00000000" w:rsidRPr="00000000">
        <w:rPr>
          <w:rFonts w:ascii="Arial" w:cs="Arial" w:eastAsia="Arial" w:hAnsi="Arial"/>
          <w:sz w:val="16"/>
          <w:szCs w:val="16"/>
          <w:rtl w:val="0"/>
        </w:rPr>
        <w:t xml:space="preserve">a) Tenham sofrido condenações definitivas por praticarem, por meio dolosos, fraude fiscal no recolhimento de tributos; </w:t>
      </w:r>
    </w:p>
    <w:p w:rsidR="00000000" w:rsidDel="00000000" w:rsidP="00000000" w:rsidRDefault="00000000" w:rsidRPr="00000000" w14:paraId="0000006B">
      <w:pPr>
        <w:rPr>
          <w:rFonts w:ascii="Arial" w:cs="Arial" w:eastAsia="Arial" w:hAnsi="Arial"/>
          <w:sz w:val="16"/>
          <w:szCs w:val="16"/>
        </w:rPr>
      </w:pPr>
      <w:r w:rsidDel="00000000" w:rsidR="00000000" w:rsidRPr="00000000">
        <w:rPr>
          <w:rFonts w:ascii="Arial" w:cs="Arial" w:eastAsia="Arial" w:hAnsi="Arial"/>
          <w:sz w:val="16"/>
          <w:szCs w:val="16"/>
          <w:rtl w:val="0"/>
        </w:rPr>
        <w:t xml:space="preserve">b) Tenham praticado atos ilícitos visando a frustrar os objetivos da licitação; </w:t>
      </w:r>
    </w:p>
    <w:p w:rsidR="00000000" w:rsidDel="00000000" w:rsidP="00000000" w:rsidRDefault="00000000" w:rsidRPr="00000000" w14:paraId="0000006C">
      <w:pPr>
        <w:rPr>
          <w:rFonts w:ascii="Arial" w:cs="Arial" w:eastAsia="Arial" w:hAnsi="Arial"/>
          <w:sz w:val="16"/>
          <w:szCs w:val="16"/>
        </w:rPr>
      </w:pPr>
      <w:r w:rsidDel="00000000" w:rsidR="00000000" w:rsidRPr="00000000">
        <w:rPr>
          <w:rFonts w:ascii="Arial" w:cs="Arial" w:eastAsia="Arial" w:hAnsi="Arial"/>
          <w:sz w:val="16"/>
          <w:szCs w:val="16"/>
          <w:rtl w:val="0"/>
        </w:rPr>
        <w:t xml:space="preserve">c) Demonstrem não possuir idoneidade para contratar com a Administração em virtude de atos ilícitos praticados.</w:t>
      </w:r>
      <w:r w:rsidDel="00000000" w:rsidR="00000000" w:rsidRPr="00000000">
        <w:rPr>
          <w:rtl w:val="0"/>
        </w:rPr>
      </w:r>
    </w:p>
    <w:p w:rsidR="00000000" w:rsidDel="00000000" w:rsidP="00000000" w:rsidRDefault="00000000" w:rsidRPr="00000000" w14:paraId="0000006D">
      <w:pP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 DA UTILIZAÇÃO DA ATA </w:t>
      </w:r>
      <w:r w:rsidDel="00000000" w:rsidR="00000000" w:rsidRPr="00000000">
        <w:rPr>
          <w:rtl w:val="0"/>
        </w:rPr>
      </w:r>
    </w:p>
    <w:p w:rsidR="00000000" w:rsidDel="00000000" w:rsidP="00000000" w:rsidRDefault="00000000" w:rsidRPr="00000000" w14:paraId="0000006F">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70">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74">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75">
      <w:pPr>
        <w:spacing w:line="360" w:lineRule="auto"/>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6">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82">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8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8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8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8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8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8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8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8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8D">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8E">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8F">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9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9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92">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9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9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98">
      <w:pPr>
        <w:jc w:val="both"/>
        <w:rPr>
          <w:rFonts w:ascii="Arial" w:cs="Arial" w:eastAsia="Arial" w:hAnsi="Arial"/>
          <w:b w:val="1"/>
          <w:smallCaps w:val="1"/>
          <w:color w:val="000000"/>
          <w:sz w:val="16"/>
          <w:szCs w:val="16"/>
        </w:rPr>
      </w:pPr>
      <w:r w:rsidDel="00000000" w:rsidR="00000000" w:rsidRPr="00000000">
        <w:rPr>
          <w:rFonts w:ascii="Arial" w:cs="Arial" w:eastAsia="Arial" w:hAnsi="Arial"/>
          <w:b w:val="1"/>
          <w:smallCaps w:val="1"/>
          <w:sz w:val="16"/>
          <w:szCs w:val="16"/>
          <w:rtl w:val="0"/>
        </w:rPr>
        <w:t xml:space="preserve">POLITEC - </w:t>
      </w:r>
      <w:r w:rsidDel="00000000" w:rsidR="00000000" w:rsidRPr="00000000">
        <w:rPr>
          <w:rFonts w:ascii="Arial" w:cs="Arial" w:eastAsia="Arial" w:hAnsi="Arial"/>
          <w:sz w:val="16"/>
          <w:szCs w:val="16"/>
          <w:rtl w:val="0"/>
        </w:rPr>
        <w:t xml:space="preserve">Superintendência de Polícia Técnico Científica.</w:t>
      </w:r>
      <w:r w:rsidDel="00000000" w:rsidR="00000000" w:rsidRPr="00000000">
        <w:rPr>
          <w:rtl w:val="0"/>
        </w:rPr>
      </w:r>
    </w:p>
    <w:p w:rsidR="00000000" w:rsidDel="00000000" w:rsidP="00000000" w:rsidRDefault="00000000" w:rsidRPr="00000000" w14:paraId="00000099">
      <w:pPr>
        <w:jc w:val="both"/>
        <w:rPr>
          <w:b w:val="1"/>
          <w:smallCaps w:val="1"/>
          <w:color w:val="000000"/>
        </w:rPr>
      </w:pPr>
      <w:r w:rsidDel="00000000" w:rsidR="00000000" w:rsidRPr="00000000">
        <w:rPr>
          <w:rtl w:val="0"/>
        </w:rPr>
      </w:r>
    </w:p>
    <w:p w:rsidR="00000000" w:rsidDel="00000000" w:rsidP="00000000" w:rsidRDefault="00000000" w:rsidRPr="00000000" w14:paraId="0000009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9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9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9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9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9F">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0">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A1">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A2">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A3">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A4">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MARCIA CARVALHO GUEDES</w:t>
      </w:r>
    </w:p>
    <w:p w:rsidR="00000000" w:rsidDel="00000000" w:rsidP="00000000" w:rsidRDefault="00000000" w:rsidRPr="00000000" w14:paraId="000000A5">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 </w:t>
      </w:r>
    </w:p>
    <w:p w:rsidR="00000000" w:rsidDel="00000000" w:rsidP="00000000" w:rsidRDefault="00000000" w:rsidRPr="00000000" w14:paraId="000000A6">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7">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A8">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A9">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AA">
      <w:pPr>
        <w:ind w:right="47"/>
        <w:jc w:val="both"/>
        <w:rPr>
          <w:rFonts w:ascii="Arial" w:cs="Arial" w:eastAsia="Arial" w:hAnsi="Arial"/>
          <w:b w:val="1"/>
          <w:color w:val="000000"/>
          <w:sz w:val="12"/>
          <w:szCs w:val="12"/>
        </w:rPr>
      </w:pPr>
      <w:r w:rsidDel="00000000" w:rsidR="00000000" w:rsidRPr="00000000">
        <w:rPr>
          <w:rtl w:val="0"/>
        </w:rPr>
      </w:r>
    </w:p>
    <w:p w:rsidR="00000000" w:rsidDel="00000000" w:rsidP="00000000" w:rsidRDefault="00000000" w:rsidRPr="00000000" w14:paraId="000000AB">
      <w:pPr>
        <w:ind w:right="47"/>
        <w:jc w:val="both"/>
        <w:rPr>
          <w:rFonts w:ascii="Arial" w:cs="Arial" w:eastAsia="Arial" w:hAnsi="Arial"/>
          <w:b w:val="1"/>
          <w:color w:val="000000"/>
          <w:sz w:val="12"/>
          <w:szCs w:val="12"/>
        </w:rPr>
      </w:pPr>
      <w:r w:rsidDel="00000000" w:rsidR="00000000" w:rsidRPr="00000000">
        <w:rPr>
          <w:rFonts w:ascii="Arial" w:cs="Arial" w:eastAsia="Arial" w:hAnsi="Arial"/>
          <w:b w:val="1"/>
          <w:sz w:val="12"/>
          <w:szCs w:val="12"/>
          <w:rtl w:val="0"/>
        </w:rPr>
        <w:t xml:space="preserve">RL</w:t>
      </w:r>
      <w:r w:rsidDel="00000000" w:rsidR="00000000" w:rsidRPr="00000000">
        <w:rPr>
          <w:rFonts w:ascii="Arial" w:cs="Arial" w:eastAsia="Arial" w:hAnsi="Arial"/>
          <w:b w:val="1"/>
          <w:color w:val="000000"/>
          <w:sz w:val="12"/>
          <w:szCs w:val="12"/>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denotaderodap">
    <w:name w:val="footnote text"/>
    <w:basedOn w:val="Normal"/>
    <w:link w:val="TextodenotaderodapChar"/>
    <w:semiHidden w:val="1"/>
    <w:rsid w:val="002876A8"/>
  </w:style>
  <w:style w:type="character" w:styleId="TextodenotaderodapChar" w:customStyle="1">
    <w:name w:val="Texto de nota de rodapé Char"/>
    <w:basedOn w:val="Fontepargpadro"/>
    <w:link w:val="Textodenotaderodap"/>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446DEC"/>
    <w:pPr>
      <w:spacing w:after="100" w:afterAutospacing="1" w:before="100" w:beforeAutospacing="1"/>
    </w:pPr>
    <w:rPr>
      <w:sz w:val="24"/>
      <w:szCs w:val="24"/>
    </w:rPr>
  </w:style>
  <w:style w:type="paragraph" w:styleId="tabelatexto8alinhadoesquerda" w:customStyle="1">
    <w:name w:val="tabela_texto_8_alinhado_esquerda"/>
    <w:basedOn w:val="Normal"/>
    <w:rsid w:val="00202323"/>
    <w:pPr>
      <w:spacing w:after="100" w:afterAutospacing="1" w:before="100" w:beforeAutospacing="1"/>
    </w:pPr>
    <w:rPr>
      <w:sz w:val="24"/>
      <w:szCs w:val="24"/>
    </w:rPr>
  </w:style>
  <w:style w:type="paragraph" w:styleId="citacao" w:customStyle="1">
    <w:name w:val="citacao"/>
    <w:basedOn w:val="Normal"/>
    <w:rsid w:val="004635EF"/>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3Rc2kyDQf3Dhswo5rRBMJH8fyg==">AMUW2mXh6RCadTjSY4iFxocuZKcMJHSIW5n09bEPZWuXm0KfRVeYrmC2TSWi874sqzvXNd1umdNxhT/tCgmUWQoYgIfSbtohLMucex1ATxtKqIUwcnM9xnzaP5wLnVwlJzM4v1Xx67vtJJsAfxkX26nkH27swSo5Qg==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2020-01-27T13:51:00Z</dcterms:created>
  <dc:creator>SESAU</dc:creator>
</cp:coreProperties>
</file>