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995170" cy="846455"/>
            <wp:effectExtent b="0" l="0" r="0" t="0"/>
            <wp:docPr descr="C:\Users\835120~1\AppData\Local\Temp\Rar$DRa0.613\Marca-2015-Horizontal.png" id="8"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SUPERINTENDÊNCIA ESTADUAL DE LICITAÇÕES - SUPEL</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Complexo Rio Madeira - Ed. Pacaás Novos – 2º Andar.</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419"/>
          <w:tab w:val="right" w:pos="8838"/>
        </w:tabs>
        <w:spacing w:after="100" w:lineRule="auto"/>
        <w:jc w:val="center"/>
        <w:rPr>
          <w:rFonts w:ascii="Arial" w:cs="Arial" w:eastAsia="Arial" w:hAnsi="Arial"/>
          <w:b w:val="1"/>
          <w:sz w:val="16"/>
          <w:szCs w:val="16"/>
        </w:rPr>
      </w:pPr>
      <w:r w:rsidDel="00000000" w:rsidR="00000000" w:rsidRPr="00000000">
        <w:rPr>
          <w:rFonts w:ascii="Arial" w:cs="Arial" w:eastAsia="Arial" w:hAnsi="Arial"/>
          <w:color w:val="000000"/>
          <w:sz w:val="16"/>
          <w:szCs w:val="16"/>
          <w:rtl w:val="0"/>
        </w:rPr>
        <w:t xml:space="preserve">Porto Velho, Rondônia. </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188/2020</w:t>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610/2019</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0033.406217/2019-61</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para eventual e futura  aquisição de materiais permanentes (material de informática), Secretaria de Justiça - SEJUS,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C">
      <w:pPr>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para eventual e futura aquisição de materiais permanentes (material de informática), Secretaria de Justiça - SEJUS, por um período de 12 (doze) meses.</w:t>
      </w:r>
    </w:p>
    <w:p w:rsidR="00000000" w:rsidDel="00000000" w:rsidP="00000000" w:rsidRDefault="00000000" w:rsidRPr="00000000" w14:paraId="0000000D">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0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1">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 DA GERÊNCIA DA PRESENTE ATA DE REGISTRO DE PREÇOS</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3.1.</w:t>
      </w:r>
      <w:r w:rsidDel="00000000" w:rsidR="00000000" w:rsidRPr="00000000">
        <w:rPr>
          <w:rFonts w:ascii="Arial" w:cs="Arial" w:eastAsia="Arial" w:hAnsi="Arial"/>
          <w:color w:val="000000"/>
          <w:sz w:val="16"/>
          <w:szCs w:val="16"/>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 DA ESPECIFICAÇÃO, QUANTIDADE E PREÇO </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4.1.</w:t>
      </w:r>
      <w:r w:rsidDel="00000000" w:rsidR="00000000" w:rsidRPr="00000000">
        <w:rPr>
          <w:rFonts w:ascii="Arial" w:cs="Arial" w:eastAsia="Arial" w:hAnsi="Arial"/>
          <w:color w:val="000000"/>
          <w:sz w:val="16"/>
          <w:szCs w:val="16"/>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E">
      <w:pPr>
        <w:pBdr>
          <w:top w:space="0" w:sz="0" w:val="nil"/>
          <w:left w:space="0" w:sz="0" w:val="nil"/>
          <w:bottom w:space="0" w:sz="0" w:val="nil"/>
          <w:right w:space="0" w:sz="0" w:val="nil"/>
          <w:between w:space="0" w:sz="0" w:val="nil"/>
        </w:pBdr>
        <w:ind w:left="360" w:hanging="72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0">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1">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2">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 LOCAL DE ENTREGA;Os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6.3.1. PRAZO DE ENTREGA: Num prazo máximo de 30 dias a contar do recebimento da nota de empenho.</w:t>
      </w:r>
      <w:r w:rsidDel="00000000" w:rsidR="00000000" w:rsidRPr="00000000">
        <w:rPr>
          <w:rFonts w:ascii="Arial" w:cs="Arial" w:eastAsia="Arial" w:hAnsi="Arial"/>
          <w:b w:val="1"/>
          <w:i w:val="1"/>
          <w:sz w:val="16"/>
          <w:szCs w:val="16"/>
          <w:rtl w:val="0"/>
        </w:rPr>
        <w:t xml:space="preserve"> </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6.3.2.</w:t>
      </w:r>
      <w:r w:rsidDel="00000000" w:rsidR="00000000" w:rsidRPr="00000000">
        <w:rPr>
          <w:rFonts w:ascii="Arial" w:cs="Arial" w:eastAsia="Arial" w:hAnsi="Arial"/>
          <w:sz w:val="16"/>
          <w:szCs w:val="16"/>
          <w:rtl w:val="0"/>
        </w:rPr>
        <w:t xml:space="preserve"> Somente serão recebidos produtos novos em perfeito estado de conservação e sem qualquer defeito;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6.3.3.</w:t>
      </w:r>
      <w:r w:rsidDel="00000000" w:rsidR="00000000" w:rsidRPr="00000000">
        <w:rPr>
          <w:rFonts w:ascii="Arial" w:cs="Arial" w:eastAsia="Arial" w:hAnsi="Arial"/>
          <w:sz w:val="16"/>
          <w:szCs w:val="16"/>
          <w:rtl w:val="0"/>
        </w:rPr>
        <w:t xml:space="preserve"> No ato da entrega, os materiais cotados em pacotes deverão ser entregues inviolados.</w:t>
      </w:r>
    </w:p>
    <w:p w:rsidR="00000000" w:rsidDel="00000000" w:rsidP="00000000" w:rsidRDefault="00000000" w:rsidRPr="00000000" w14:paraId="0000002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6.3.4.</w:t>
      </w:r>
      <w:r w:rsidDel="00000000" w:rsidR="00000000" w:rsidRPr="00000000">
        <w:rPr>
          <w:rFonts w:ascii="Arial" w:cs="Arial" w:eastAsia="Arial" w:hAnsi="Arial"/>
          <w:sz w:val="16"/>
          <w:szCs w:val="16"/>
          <w:rtl w:val="0"/>
        </w:rPr>
        <w:t xml:space="preserve"> Os materiais deverão apresentar no mínimo 80% (oitenta pontos percentuais) do período total da sua validade vigente, o que for maior, no momento do recebimento provisório, próprio para o consumo, conforme especificado no Termo de Referência.</w:t>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ab/>
      </w: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8.  DA DOTAÇÃO ORÇAMENTÁRIA</w:t>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8.1.</w:t>
      </w:r>
      <w:r w:rsidDel="00000000" w:rsidR="00000000" w:rsidRPr="00000000">
        <w:rPr>
          <w:rFonts w:ascii="Arial" w:cs="Arial" w:eastAsia="Arial" w:hAnsi="Arial"/>
          <w:color w:val="000000"/>
          <w:sz w:val="16"/>
          <w:szCs w:val="16"/>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9. DAS SANÇÕES </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multas previstas nesta seção não eximem a CONTRATADA da reparação dos eventuais danos, perdas ou prejuízos que seu ato punível venha causar à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I - Inexecução total ou parcial do contrato;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Apresentação de documentação falsa;</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Comportamento inidôneo;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Fraude fiscal;</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Descumprimento de qualquer dos deveres elencados no Edital ou no Contrato.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As sanções serão aplicadas sem prejuízo da responsabilidade civil e criminal que possa ser acionada em desfavor da CONTRATADA, conforme infração cometida e prejuízos causados à administração ou à terceiros. </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9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70"/>
        <w:gridCol w:w="7115"/>
        <w:gridCol w:w="800"/>
        <w:gridCol w:w="1010"/>
        <w:tblGridChange w:id="0">
          <w:tblGrid>
            <w:gridCol w:w="770"/>
            <w:gridCol w:w="7115"/>
            <w:gridCol w:w="800"/>
            <w:gridCol w:w="1010"/>
          </w:tblGrid>
        </w:tblGridChange>
      </w:tblGrid>
      <w:tr>
        <w:trPr>
          <w:trHeight w:val="500" w:hRule="atLeast"/>
        </w:trPr>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conseqüências letais;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casos contratuais por dia e por unidade de atendimento;</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fornecer o material, sem motivo justificado,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 por dia</w:t>
            </w:r>
          </w:p>
        </w:tc>
      </w:tr>
      <w:tr>
        <w:trPr>
          <w:trHeight w:val="1025"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material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 por dia</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25"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o fornecimento nos prazos estabelecidos, observados os limites mínimos estabelecidos por esse contrato; por serviço,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sua culpa, em veículos, equipamentos, dados, etc.</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 por dia</w:t>
            </w:r>
          </w:p>
        </w:tc>
      </w:tr>
    </w:tbl>
    <w:p w:rsidR="00000000" w:rsidDel="00000000" w:rsidP="00000000" w:rsidRDefault="00000000" w:rsidRPr="00000000" w14:paraId="0000007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As multas incidirão sobre a parcela inadimplida do contrato. </w:t>
      </w:r>
    </w:p>
    <w:p w:rsidR="00000000" w:rsidDel="00000000" w:rsidP="00000000" w:rsidRDefault="00000000" w:rsidRPr="00000000" w14:paraId="0000007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aqui previstas poderão ser aplicadas concomitante, facultada a defesa prévia do interessado, no respectivo processo, no prazo de 05 (cinco) dias úteis;</w:t>
      </w:r>
    </w:p>
    <w:p w:rsidR="00000000" w:rsidDel="00000000" w:rsidP="00000000" w:rsidRDefault="00000000" w:rsidRPr="00000000" w14:paraId="0000007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7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7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7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órgão contratante  e de declaração de inidoneidade, previstas nos subitens anteriores, as empresas ou profissionais que, em razão do contrato decorrente dessa licitação: </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8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Tenham praticado atos ilícitos visando a frustrar os objetivos da licitação;</w:t>
      </w:r>
    </w:p>
    <w:p w:rsidR="00000000" w:rsidDel="00000000" w:rsidP="00000000" w:rsidRDefault="00000000" w:rsidRPr="00000000" w14:paraId="0000008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Demonstrem não possuir idoneidade para contratar com a Administração em virtude de atos ilícitos praticados.</w:t>
      </w:r>
    </w:p>
    <w:p w:rsidR="00000000" w:rsidDel="00000000" w:rsidP="00000000" w:rsidRDefault="00000000" w:rsidRPr="00000000" w14:paraId="00000082">
      <w:pPr>
        <w:spacing w:after="120" w:before="120" w:lineRule="auto"/>
        <w:ind w:right="12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4">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5">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   </w:t>
      </w:r>
    </w:p>
    <w:p w:rsidR="00000000" w:rsidDel="00000000" w:rsidP="00000000" w:rsidRDefault="00000000" w:rsidRPr="00000000" w14:paraId="00000086">
      <w:pPr>
        <w:pBdr>
          <w:top w:space="0" w:sz="0" w:val="nil"/>
          <w:left w:space="0" w:sz="0" w:val="nil"/>
          <w:bottom w:space="0" w:sz="0" w:val="nil"/>
          <w:right w:space="0" w:sz="0" w:val="nil"/>
          <w:between w:space="0" w:sz="0" w:val="nil"/>
        </w:pBd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10.3. </w:t>
      </w:r>
      <w:r w:rsidDel="00000000" w:rsidR="00000000" w:rsidRPr="00000000">
        <w:rPr>
          <w:rFonts w:ascii="Arial" w:cs="Arial" w:eastAsia="Arial" w:hAnsi="Arial"/>
          <w:color w:val="000000"/>
          <w:sz w:val="16"/>
          <w:szCs w:val="16"/>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10.4.</w:t>
      </w:r>
      <w:r w:rsidDel="00000000" w:rsidR="00000000" w:rsidRPr="00000000">
        <w:rPr>
          <w:rFonts w:ascii="Arial" w:cs="Arial" w:eastAsia="Arial" w:hAnsi="Arial"/>
          <w:color w:val="000000"/>
          <w:sz w:val="16"/>
          <w:szCs w:val="16"/>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8">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10.5.</w:t>
      </w:r>
      <w:r w:rsidDel="00000000" w:rsidR="00000000" w:rsidRPr="00000000">
        <w:rPr>
          <w:rFonts w:ascii="Arial" w:cs="Arial" w:eastAsia="Arial" w:hAnsi="Arial"/>
          <w:color w:val="000000"/>
          <w:sz w:val="16"/>
          <w:szCs w:val="16"/>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B">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11.1.</w:t>
      </w:r>
      <w:r w:rsidDel="00000000" w:rsidR="00000000" w:rsidRPr="00000000">
        <w:rPr>
          <w:rFonts w:ascii="Arial" w:cs="Arial" w:eastAsia="Arial" w:hAnsi="Arial"/>
          <w:color w:val="000000"/>
          <w:sz w:val="16"/>
          <w:szCs w:val="16"/>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11.2.</w:t>
      </w:r>
      <w:r w:rsidDel="00000000" w:rsidR="00000000" w:rsidRPr="00000000">
        <w:rPr>
          <w:rFonts w:ascii="Arial" w:cs="Arial" w:eastAsia="Arial" w:hAnsi="Arial"/>
          <w:color w:val="000000"/>
          <w:sz w:val="16"/>
          <w:szCs w:val="16"/>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11.3.</w:t>
      </w:r>
      <w:r w:rsidDel="00000000" w:rsidR="00000000" w:rsidRPr="00000000">
        <w:rPr>
          <w:rFonts w:ascii="Arial" w:cs="Arial" w:eastAsia="Arial" w:hAnsi="Arial"/>
          <w:color w:val="000000"/>
          <w:sz w:val="16"/>
          <w:szCs w:val="16"/>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11.4.</w:t>
      </w:r>
      <w:r w:rsidDel="00000000" w:rsidR="00000000" w:rsidRPr="00000000">
        <w:rPr>
          <w:rFonts w:ascii="Arial" w:cs="Arial" w:eastAsia="Arial" w:hAnsi="Arial"/>
          <w:color w:val="000000"/>
          <w:sz w:val="16"/>
          <w:szCs w:val="16"/>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 </w:t>
      </w:r>
      <w:r w:rsidDel="00000000" w:rsidR="00000000" w:rsidRPr="00000000">
        <w:rPr>
          <w:rFonts w:ascii="Arial" w:cs="Arial" w:eastAsia="Arial" w:hAnsi="Arial"/>
          <w:color w:val="000000"/>
          <w:sz w:val="16"/>
          <w:szCs w:val="16"/>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11.5.1.</w:t>
      </w:r>
      <w:r w:rsidDel="00000000" w:rsidR="00000000" w:rsidRPr="00000000">
        <w:rPr>
          <w:rFonts w:ascii="Arial" w:cs="Arial" w:eastAsia="Arial" w:hAnsi="Arial"/>
          <w:color w:val="000000"/>
          <w:sz w:val="16"/>
          <w:szCs w:val="16"/>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11.5.2.</w:t>
      </w:r>
      <w:r w:rsidDel="00000000" w:rsidR="00000000" w:rsidRPr="00000000">
        <w:rPr>
          <w:rFonts w:ascii="Arial" w:cs="Arial" w:eastAsia="Arial" w:hAnsi="Arial"/>
          <w:color w:val="000000"/>
          <w:sz w:val="16"/>
          <w:szCs w:val="16"/>
          <w:rtl w:val="0"/>
        </w:rPr>
        <w:t xml:space="preserve"> Convocar os demais fornecedores para assegurar igual oportunidade de negociação;</w:t>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11.5.3.</w:t>
      </w:r>
      <w:r w:rsidDel="00000000" w:rsidR="00000000" w:rsidRPr="00000000">
        <w:rPr>
          <w:rFonts w:ascii="Arial" w:cs="Arial" w:eastAsia="Arial" w:hAnsi="Arial"/>
          <w:color w:val="000000"/>
          <w:sz w:val="16"/>
          <w:szCs w:val="16"/>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9">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12.4.</w:t>
      </w:r>
      <w:r w:rsidDel="00000000" w:rsidR="00000000" w:rsidRPr="00000000">
        <w:rPr>
          <w:rFonts w:ascii="Arial" w:cs="Arial" w:eastAsia="Arial" w:hAnsi="Arial"/>
          <w:color w:val="000000"/>
          <w:sz w:val="16"/>
          <w:szCs w:val="16"/>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B">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12.6.</w:t>
      </w:r>
      <w:r w:rsidDel="00000000" w:rsidR="00000000" w:rsidRPr="00000000">
        <w:rPr>
          <w:rFonts w:ascii="Arial" w:cs="Arial" w:eastAsia="Arial" w:hAnsi="Arial"/>
          <w:color w:val="000000"/>
          <w:sz w:val="16"/>
          <w:szCs w:val="16"/>
          <w:rtl w:val="0"/>
        </w:rPr>
        <w:t xml:space="preserve"> Respeitar e fazer cumprir a legislação de segurança e saúde no trabalho, previstas nas normas regulamentadoras pertinentes;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14.</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DOS ÓRGÃOS PARTICIPANTES:</w:t>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14.1.</w:t>
      </w:r>
      <w:r w:rsidDel="00000000" w:rsidR="00000000" w:rsidRPr="00000000">
        <w:rPr>
          <w:rFonts w:ascii="Arial" w:cs="Arial" w:eastAsia="Arial" w:hAnsi="Arial"/>
          <w:color w:val="000000"/>
          <w:sz w:val="16"/>
          <w:szCs w:val="16"/>
          <w:rtl w:val="0"/>
        </w:rPr>
        <w:t xml:space="preserve"> É participante desta ata o seguinte órgão pertencente à Administração Pública do Estado de Rondônia:</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 - </w:t>
      </w:r>
      <w:r w:rsidDel="00000000" w:rsidR="00000000" w:rsidRPr="00000000">
        <w:rPr>
          <w:rFonts w:ascii="Arial" w:cs="Arial" w:eastAsia="Arial" w:hAnsi="Arial"/>
          <w:sz w:val="16"/>
          <w:szCs w:val="16"/>
          <w:rtl w:val="0"/>
        </w:rPr>
        <w:t xml:space="preserve">Secretaria de Estado de Justiça.</w:t>
      </w:r>
    </w:p>
    <w:p w:rsidR="00000000" w:rsidDel="00000000" w:rsidP="00000000" w:rsidRDefault="00000000" w:rsidRPr="00000000" w14:paraId="000000AC">
      <w:pPr>
        <w:tabs>
          <w:tab w:val="left" w:pos="1005"/>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A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0">
      <w:pPr>
        <w:jc w:val="both"/>
        <w:rPr>
          <w:rFonts w:ascii="Arial" w:cs="Arial" w:eastAsia="Arial" w:hAnsi="Arial"/>
          <w:color w:val="000000"/>
          <w:sz w:val="16"/>
          <w:szCs w:val="16"/>
        </w:rPr>
      </w:pPr>
      <w:bookmarkStart w:colFirst="0" w:colLast="0" w:name="_heading=h.gjdgxs" w:id="1"/>
      <w:bookmarkEnd w:id="1"/>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6">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7">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8">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9">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D">
      <w:pPr>
        <w:ind w:right="47"/>
        <w:jc w:val="both"/>
        <w:rPr>
          <w:rFonts w:ascii="Arial" w:cs="Arial" w:eastAsia="Arial" w:hAnsi="Arial"/>
          <w:b w:val="1"/>
          <w:sz w:val="10"/>
          <w:szCs w:val="10"/>
        </w:rPr>
      </w:pPr>
      <w:bookmarkStart w:colFirst="0" w:colLast="0" w:name="_heading=h.30j0zll" w:id="2"/>
      <w:bookmarkEnd w:id="2"/>
      <w:r w:rsidDel="00000000" w:rsidR="00000000" w:rsidRPr="00000000">
        <w:rPr>
          <w:rtl w:val="0"/>
        </w:rPr>
      </w:r>
    </w:p>
    <w:p w:rsidR="00000000" w:rsidDel="00000000" w:rsidP="00000000" w:rsidRDefault="00000000" w:rsidRPr="00000000" w14:paraId="000000BE">
      <w:pPr>
        <w:ind w:right="47"/>
        <w:jc w:val="both"/>
        <w:rPr>
          <w:rFonts w:ascii="Arial" w:cs="Arial" w:eastAsia="Arial" w:hAnsi="Arial"/>
          <w:b w:val="1"/>
          <w:color w:val="000000"/>
          <w:sz w:val="10"/>
          <w:szCs w:val="10"/>
        </w:rPr>
      </w:pPr>
      <w:bookmarkStart w:colFirst="0" w:colLast="0" w:name="_heading=h.d6p21vsrq5nc" w:id="3"/>
      <w:bookmarkEnd w:id="3"/>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center" w:pos="4419"/>
        <w:tab w:val="right" w:pos="8838"/>
      </w:tabs>
      <w:jc w:val="center"/>
      <w:rPr>
        <w:rFonts w:ascii="Book Antiqua" w:cs="Book Antiqua" w:eastAsia="Book Antiqua" w:hAnsi="Book Antiqua"/>
        <w:b w:val="1"/>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paragraph" w:styleId="Ttulo6">
    <w:name w:val="heading 6"/>
    <w:basedOn w:val="Normal"/>
    <w:next w:val="Normal"/>
    <w:pPr>
      <w:keepNext w:val="1"/>
      <w:keepLines w:val="1"/>
      <w:spacing w:after="40" w:before="200"/>
      <w:outlineLvl w:val="5"/>
    </w:pPr>
    <w:rPr>
      <w:b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3"/>
    <w:tblPr>
      <w:tblStyleRowBandSize w:val="1"/>
      <w:tblStyleColBandSize w:val="1"/>
      <w:tblCellMar>
        <w:top w:w="0.0" w:type="dxa"/>
        <w:left w:w="0.0" w:type="dxa"/>
        <w:bottom w:w="0.0" w:type="dxa"/>
        <w:right w:w="0.0" w:type="dxa"/>
      </w:tblCellMar>
    </w:tblPr>
  </w:style>
  <w:style w:type="table" w:styleId="a0" w:customStyle="1">
    <w:basedOn w:val="TableNormal3"/>
    <w:tblPr>
      <w:tblStyleRowBandSize w:val="1"/>
      <w:tblStyleColBandSize w:val="1"/>
      <w:tblCellMar>
        <w:top w:w="100.0" w:type="dxa"/>
        <w:left w:w="100.0" w:type="dxa"/>
        <w:bottom w:w="100.0" w:type="dxa"/>
        <w:right w:w="100.0" w:type="dxa"/>
      </w:tblCellMar>
    </w:tblPr>
  </w:style>
  <w:style w:type="table" w:styleId="a1" w:customStyle="1">
    <w:basedOn w:val="TableNormal3"/>
    <w:tblPr>
      <w:tblStyleRowBandSize w:val="1"/>
      <w:tblStyleColBandSize w:val="1"/>
      <w:tblCellMar>
        <w:top w:w="100.0" w:type="dxa"/>
        <w:left w:w="100.0" w:type="dxa"/>
        <w:bottom w:w="100.0" w:type="dxa"/>
        <w:right w:w="100.0" w:type="dxa"/>
      </w:tblCellMar>
    </w:tblPr>
  </w:style>
  <w:style w:type="table" w:styleId="a2" w:customStyle="1">
    <w:basedOn w:val="TableNormal3"/>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VXairWDVhaEDYcv/pePWTXDZ/w==">AMUW2mUsqLOFEEeIuLClmIDG9AGcG5gCS3m935hmZfiyJzs/dOrTZbNQtmrrr8XhXOfYzOszty4CqR9mLJT3nOBG24CTpN7warKSRTwtANww35APz4s8dKbA7u4j0lpaM/0d1lX6BDSDQb8/pEcURT3g4u/RfomEQsusJ9dAMy0nZzCykxhWF1M=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2020-05-29T15:49:00Z</dcterms:created>
  <dc:creator>SESAU</dc:creator>
</cp:coreProperties>
</file>