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186/2020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269/2020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 0049.336913/2019-23</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w:t>
      </w:r>
      <w:r w:rsidDel="00000000" w:rsidR="00000000" w:rsidRPr="00000000">
        <w:rPr>
          <w:rFonts w:ascii="Arial" w:cs="Arial" w:eastAsia="Arial" w:hAnsi="Arial"/>
          <w:sz w:val="16"/>
          <w:szCs w:val="16"/>
          <w:rtl w:val="0"/>
        </w:rPr>
        <w:t xml:space="preserve">Eventual aquisição de material consumo (Grampeador cirúrgico e recarga),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w:t>
      </w:r>
      <w:r w:rsidDel="00000000" w:rsidR="00000000" w:rsidRPr="00000000">
        <w:rPr>
          <w:rFonts w:ascii="Arial" w:cs="Arial" w:eastAsia="Arial" w:hAnsi="Arial"/>
          <w:sz w:val="16"/>
          <w:szCs w:val="16"/>
          <w:rtl w:val="0"/>
        </w:rPr>
        <w:t xml:space="preserve">Eventual aquisição de material consumo (Grampeador cirúrgico e recarga)</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A entrega deverá ocorrer conforme solicitação via requisição da Unidade de Saúde no prazo de até 30 dias após emissão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w:t>
      </w:r>
      <w:r w:rsidDel="00000000" w:rsidR="00000000" w:rsidRPr="00000000">
        <w:rPr>
          <w:rFonts w:ascii="Arial" w:cs="Arial" w:eastAsia="Arial" w:hAnsi="Arial"/>
          <w:sz w:val="16"/>
          <w:szCs w:val="16"/>
          <w:rtl w:val="0"/>
        </w:rPr>
        <w:t xml:space="preserve"> A entrega dos materiais deverá ser efetuada na Central de Abastecimento farmacêutico – CAF II: Rua: Aparício de Morais nº. 4378  Bairro - Setor Industrial, - Telefone: (69) 3216–5759 - Porto Velho das 7:30 as 13:30 horas.</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color w:val="000000"/>
          <w:sz w:val="16"/>
          <w:szCs w:val="16"/>
          <w:rtl w:val="0"/>
        </w:rPr>
        <w:t xml:space="preserv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3">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000000" w:rsidDel="00000000" w:rsidP="00000000" w:rsidRDefault="00000000" w:rsidRPr="00000000" w14:paraId="00000034">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Advertência, por escrito, sempre que forem constatadas falhas na execução dos serviços;</w:t>
      </w:r>
    </w:p>
    <w:p w:rsidR="00000000" w:rsidDel="00000000" w:rsidP="00000000" w:rsidRDefault="00000000" w:rsidRPr="00000000" w14:paraId="00000035">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Multa, conforme descrito na tabela 01, até o 30º (trigésimo) dia de atraso no cumprimento das obrigações;</w:t>
      </w:r>
    </w:p>
    <w:p w:rsidR="00000000" w:rsidDel="00000000" w:rsidP="00000000" w:rsidRDefault="00000000" w:rsidRPr="00000000" w14:paraId="00000036">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Multa de 10 % (dez por cento) do valor total contratado, a partir do 31º (trigésimo primeiro dia) de atraso, o que ensejará a rescisão contratual;</w:t>
      </w:r>
    </w:p>
    <w:p w:rsidR="00000000" w:rsidDel="00000000" w:rsidP="00000000" w:rsidRDefault="00000000" w:rsidRPr="00000000" w14:paraId="00000037">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Suspensão temporária de participação em licitação e impedimento de contratar com a Administração por prazo não superior a 05 (cinco) anos, de acordo com o Decreto nº 5.450/05;</w:t>
      </w:r>
    </w:p>
    <w:p w:rsidR="00000000" w:rsidDel="00000000" w:rsidP="00000000" w:rsidRDefault="00000000" w:rsidRPr="00000000" w14:paraId="00000038">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000000" w:rsidDel="00000000" w:rsidP="00000000" w:rsidRDefault="00000000" w:rsidRPr="00000000" w14:paraId="00000039">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Para efeito de aplicação de multas, às infrações são atribuídos graus, com percentuais de multa conforme a tabela a seguir (tabela 1):</w:t>
      </w:r>
    </w:p>
    <w:tbl>
      <w:tblPr>
        <w:tblStyle w:val="Table1"/>
        <w:tblW w:w="9212.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88.6936362196604"/>
        <w:gridCol w:w="6433.079418321809"/>
        <w:gridCol w:w="845.707634018672"/>
        <w:gridCol w:w="1145.031122463483"/>
        <w:tblGridChange w:id="0">
          <w:tblGrid>
            <w:gridCol w:w="788.6936362196604"/>
            <w:gridCol w:w="6433.079418321809"/>
            <w:gridCol w:w="845.707634018672"/>
            <w:gridCol w:w="1145.031122463483"/>
          </w:tblGrid>
        </w:tblGridChange>
      </w:tblGrid>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3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1</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funcionário sem qualificação para a execução dos serviços; por empregado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material;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a presença de funcionário sem uniforme e/ou com uniforme manchado, sujo, mal apresentado e/ou sem crachá registrado por ocorrência (s)</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salários até o quinto dia útil;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reposição de funcionários faltosos, por funcionários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de materiais ou execução de serviços;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Zelar pelas instalações do órgão e do ambiente de trabalho, por item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Refazer serviço não aceito pela FISCALIZAÇÃO, nos prazos estabelecidos no contrato ou determinado pela FISCALIZAÇÃO;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pela FISCALIZAÇÃO, observados os limites mínimos estabelecidos por este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equipamentos, insumos e papel necessários à realização dos serviços do escopo do contrato;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seus funcionários, em Veículos, equipamentos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9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Incidente sobre o valor da parcela inadimplida. </w:t>
      </w:r>
      <w:r w:rsidDel="00000000" w:rsidR="00000000" w:rsidRPr="00000000">
        <w:rPr>
          <w:rFonts w:ascii="Arial" w:cs="Arial" w:eastAsia="Arial" w:hAnsi="Arial"/>
          <w:b w:val="1"/>
          <w:sz w:val="16"/>
          <w:szCs w:val="16"/>
          <w:rtl w:val="0"/>
        </w:rPr>
        <w:t xml:space="preserve">​</w:t>
      </w:r>
    </w:p>
    <w:p w:rsidR="00000000" w:rsidDel="00000000" w:rsidP="00000000" w:rsidRDefault="00000000" w:rsidRPr="00000000" w14:paraId="0000009B">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9C">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Após 30 (trinta) dias da falta de execução do objeto, será considerada inexecução total do contrato, o que ensejará a rescisão contratual.</w:t>
      </w:r>
    </w:p>
    <w:p w:rsidR="00000000" w:rsidDel="00000000" w:rsidP="00000000" w:rsidRDefault="00000000" w:rsidRPr="00000000" w14:paraId="0000009D">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9E">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00000" w:rsidDel="00000000" w:rsidP="00000000" w:rsidRDefault="00000000" w:rsidRPr="00000000" w14:paraId="0000009F">
      <w:pPr>
        <w:ind w:left="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000000" w:rsidDel="00000000" w:rsidP="00000000" w:rsidRDefault="00000000" w:rsidRPr="00000000" w14:paraId="000000A0">
      <w:pPr>
        <w:ind w:left="0" w:right="6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w:t>
      </w:r>
      <w:r w:rsidDel="00000000" w:rsidR="00000000" w:rsidRPr="00000000">
        <w:rPr>
          <w:rFonts w:ascii="Arial" w:cs="Arial" w:eastAsia="Arial" w:hAnsi="Arial"/>
          <w:sz w:val="16"/>
          <w:szCs w:val="16"/>
          <w:rtl w:val="0"/>
        </w:rPr>
        <w:t xml:space="preserve"> – Secretaria de Estado da Saúde.</w:t>
      </w:r>
    </w:p>
    <w:p w:rsidR="00000000" w:rsidDel="00000000" w:rsidP="00000000" w:rsidRDefault="00000000" w:rsidRPr="00000000" w14:paraId="000000CB">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C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r>
      <w:r w:rsidDel="00000000" w:rsidR="00000000" w:rsidRPr="00000000">
        <w:rPr>
          <w:rFonts w:ascii="Arial" w:cs="Arial" w:eastAsia="Arial" w:hAnsi="Arial"/>
          <w:b w:val="1"/>
          <w:sz w:val="16"/>
          <w:szCs w:val="16"/>
          <w:rtl w:val="0"/>
        </w:rPr>
        <w:t xml:space="preserve">MARCIA CARVALHO GUEDES</w:t>
      </w:r>
      <w:r w:rsidDel="00000000" w:rsidR="00000000" w:rsidRPr="00000000">
        <w:rPr>
          <w:rtl w:val="0"/>
        </w:rPr>
      </w:r>
    </w:p>
    <w:p w:rsidR="00000000" w:rsidDel="00000000" w:rsidP="00000000" w:rsidRDefault="00000000" w:rsidRPr="00000000" w14:paraId="000000D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212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675EDB"/>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4swvxK+tN03/Hya3MROc7UHrLw==">AMUW2mV3QaAroKz4meWON8fUAt5HZqq7jtyrAf+T78FVPlwLirMVDXM3TpgE6BuiXEfOvuj+w3tqpKA2m1POGG75sS4RlitcfTQkK9f8Z7MTgzt8xk813scY6K59xHmvJjaIXAA5wcy673VQMMInBSOqHyy3fGBP0Q==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2019-07-26T12:59:00Z</dcterms:created>
  <dc:creator>SESAU</dc:creator>
</cp:coreProperties>
</file>