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4"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bookmarkStart w:colFirst="0" w:colLast="0" w:name="_heading=h.30j0zll" w:id="1"/>
      <w:bookmarkEnd w:id="1"/>
      <w:r w:rsidDel="00000000" w:rsidR="00000000" w:rsidRPr="00000000">
        <w:rPr>
          <w:rFonts w:ascii="Arial" w:cs="Arial" w:eastAsia="Arial" w:hAnsi="Arial"/>
          <w:b w:val="1"/>
          <w:sz w:val="16"/>
          <w:szCs w:val="16"/>
          <w:rtl w:val="0"/>
        </w:rPr>
        <w:t xml:space="preserve">ATA DE REGISTRO DE PREÇOS: N° 182/2020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157/2020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0030.047461/2020-41</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Pelo presente instrumento, o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ESTADO DE RONDÔNIA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REGISTRAR O PREÇO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para futura e eventual aquisição de água mineral potável (garrafão de 20 litros e garrafas "pet" de 500 ml) e gás liquefeito de petróleo (GLP - Gás de cozinha) acondicionado em botija de 13 kg, para atender as unidades da Secretaria de Estado de Finanças na capital e interior do Estado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REGISTRO DE PREÇO para futura e eventual aquisição de água mineral potável (garrafão de 20 litros e garrafas "pet" de 500 ml) e gás liquefeito de petróleo (GLP - Gás de cozinha) acondicionado em botija de 13 kg, para atender as unidades da Secretaria de Estado de Finanças na capital e interior do Estado.</w:t>
      </w: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PRAZO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ENTREGA</w:t>
      </w:r>
      <w:r w:rsidDel="00000000" w:rsidR="00000000" w:rsidRPr="00000000">
        <w:rPr>
          <w:rFonts w:ascii="Arial" w:cs="Arial" w:eastAsia="Arial" w:hAnsi="Arial"/>
          <w:sz w:val="16"/>
          <w:szCs w:val="16"/>
          <w:rtl w:val="0"/>
        </w:rPr>
        <w:t xml:space="preserve">: O Fornecedor deverá iniciar o atendimento das requisições no prazo de até 20 (vinte) dias após a retirada ou recebimento da nota de empenho, podendo ser concedida dilação do mesmo, unicamente nos casos explicitamente amparados pela lei federal 8.666/93. </w:t>
      </w:r>
      <w:r w:rsidDel="00000000" w:rsidR="00000000" w:rsidRPr="00000000">
        <w:rPr>
          <w:rtl w:val="0"/>
        </w:rPr>
      </w:r>
    </w:p>
    <w:p w:rsidR="00000000" w:rsidDel="00000000" w:rsidP="00000000" w:rsidRDefault="00000000" w:rsidRPr="00000000" w14:paraId="00000025">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6.4.</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LOCAL/HORÁRIO DE ENTREGA: </w:t>
      </w:r>
      <w:r w:rsidDel="00000000" w:rsidR="00000000" w:rsidRPr="00000000">
        <w:rPr>
          <w:rFonts w:ascii="Arial" w:cs="Arial" w:eastAsia="Arial" w:hAnsi="Arial"/>
          <w:sz w:val="16"/>
          <w:szCs w:val="16"/>
          <w:rtl w:val="0"/>
        </w:rPr>
        <w:t xml:space="preserve">Os produtos, quando requisitados, deverão ser entregues de segunda a sexta-feira, das 07h30 às 13h30, nas dependências das Unidades da Secretaria de Estado de Finanças, nos seguintes endereços:</w:t>
      </w:r>
    </w:p>
    <w:tbl>
      <w:tblPr>
        <w:tblStyle w:val="Table1"/>
        <w:tblW w:w="1090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1440"/>
        <w:gridCol w:w="1260"/>
        <w:gridCol w:w="4350"/>
        <w:gridCol w:w="2265"/>
        <w:gridCol w:w="1590"/>
        <w:tblGridChange w:id="0">
          <w:tblGrid>
            <w:gridCol w:w="1440"/>
            <w:gridCol w:w="1260"/>
            <w:gridCol w:w="4350"/>
            <w:gridCol w:w="2265"/>
            <w:gridCol w:w="1590"/>
          </w:tblGrid>
        </w:tblGridChange>
      </w:tblGrid>
      <w:tr>
        <w:trPr>
          <w:trHeight w:val="80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2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 01 a 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2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REGIONAL</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2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ENDEREÇO PARA  ENTREGA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2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UNIDADE  REQUISITANTE</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2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QUANTIDADE A SER ENTREGUE</w:t>
            </w:r>
          </w:p>
        </w:tc>
      </w:tr>
      <w:tr>
        <w:trPr>
          <w:trHeight w:val="107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2B">
            <w:pPr>
              <w:ind w:left="60" w:right="60" w:firstLine="0"/>
              <w:jc w:val="center"/>
              <w:rPr>
                <w:rFonts w:ascii="Arial" w:cs="Arial" w:eastAsia="Arial" w:hAnsi="Arial"/>
                <w:sz w:val="16"/>
                <w:szCs w:val="16"/>
              </w:rPr>
            </w:pPr>
            <w:r w:rsidDel="00000000" w:rsidR="00000000" w:rsidRPr="00000000">
              <w:rPr>
                <w:rFonts w:ascii="Arial" w:cs="Arial" w:eastAsia="Arial" w:hAnsi="Arial"/>
                <w:b w:val="1"/>
                <w:sz w:val="16"/>
                <w:szCs w:val="16"/>
                <w:rtl w:val="0"/>
              </w:rPr>
              <w:t xml:space="preserve">Água</w:t>
            </w:r>
            <w:r w:rsidDel="00000000" w:rsidR="00000000" w:rsidRPr="00000000">
              <w:rPr>
                <w:rFonts w:ascii="Arial" w:cs="Arial" w:eastAsia="Arial" w:hAnsi="Arial"/>
                <w:sz w:val="16"/>
                <w:szCs w:val="16"/>
                <w:rtl w:val="0"/>
              </w:rPr>
              <w:t xml:space="preserve"> mineral, natural, sem gás, acondicionado em embalagem retornável (garrafão) de 20 litros, em plástico higiênico, com protetor na parte superior e lacre de segurança personalizado pelo fabricante.</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2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1ª DRRE</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2D">
            <w:pPr>
              <w:ind w:left="6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CIAC – Centro Integrado de Atendimento ao Contribuinte.</w:t>
            </w:r>
          </w:p>
          <w:p w:rsidR="00000000" w:rsidDel="00000000" w:rsidP="00000000" w:rsidRDefault="00000000" w:rsidRPr="00000000" w14:paraId="0000002E">
            <w:pPr>
              <w:ind w:left="60" w:right="60" w:firstLine="0"/>
              <w:rPr>
                <w:rFonts w:ascii="Arial" w:cs="Arial" w:eastAsia="Arial" w:hAnsi="Arial"/>
                <w:b w:val="1"/>
                <w:i w:val="1"/>
                <w:sz w:val="16"/>
                <w:szCs w:val="16"/>
                <w:u w:val="single"/>
              </w:rPr>
            </w:pPr>
            <w:r w:rsidDel="00000000" w:rsidR="00000000" w:rsidRPr="00000000">
              <w:rPr>
                <w:rFonts w:ascii="Arial" w:cs="Arial" w:eastAsia="Arial" w:hAnsi="Arial"/>
                <w:sz w:val="16"/>
                <w:szCs w:val="16"/>
                <w:rtl w:val="0"/>
              </w:rPr>
              <w:t xml:space="preserve">Endereço: Avenida Tiradentes, 3361 – Setor industrial - CEP 76803-877 - </w:t>
            </w:r>
            <w:r w:rsidDel="00000000" w:rsidR="00000000" w:rsidRPr="00000000">
              <w:rPr>
                <w:rFonts w:ascii="Arial" w:cs="Arial" w:eastAsia="Arial" w:hAnsi="Arial"/>
                <w:b w:val="1"/>
                <w:i w:val="1"/>
                <w:sz w:val="16"/>
                <w:szCs w:val="16"/>
                <w:u w:val="single"/>
                <w:rtl w:val="0"/>
              </w:rPr>
              <w:t xml:space="preserve">Porto Velho - RO.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2F">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Porto Velho e Guajará-Mirim </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30">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3.250,00 (20L) 10.164,00 (500ml)</w:t>
            </w:r>
          </w:p>
        </w:tc>
      </w:tr>
    </w:tbl>
    <w:p w:rsidR="00000000" w:rsidDel="00000000" w:rsidP="00000000" w:rsidRDefault="00000000" w:rsidRPr="00000000" w14:paraId="00000031">
      <w:pPr>
        <w:rPr>
          <w:rFonts w:ascii="Arial" w:cs="Arial" w:eastAsia="Arial" w:hAnsi="Arial"/>
          <w:sz w:val="16"/>
          <w:szCs w:val="16"/>
        </w:rPr>
      </w:pPr>
      <w:r w:rsidDel="00000000" w:rsidR="00000000" w:rsidRPr="00000000">
        <w:rPr>
          <w:rtl w:val="0"/>
        </w:rPr>
      </w:r>
    </w:p>
    <w:tbl>
      <w:tblPr>
        <w:tblStyle w:val="Table2"/>
        <w:tblW w:w="10785.0" w:type="dxa"/>
        <w:jc w:val="left"/>
        <w:tblInd w:w="2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1545"/>
        <w:gridCol w:w="1170"/>
        <w:gridCol w:w="4230"/>
        <w:gridCol w:w="2250"/>
        <w:gridCol w:w="1590"/>
        <w:tblGridChange w:id="0">
          <w:tblGrid>
            <w:gridCol w:w="1545"/>
            <w:gridCol w:w="1170"/>
            <w:gridCol w:w="4230"/>
            <w:gridCol w:w="2250"/>
            <w:gridCol w:w="1590"/>
          </w:tblGrid>
        </w:tblGridChange>
      </w:tblGrid>
      <w:tr>
        <w:trPr>
          <w:trHeight w:val="870" w:hRule="atLeast"/>
        </w:trPr>
        <w:tc>
          <w:tcPr>
            <w:tcBorders>
              <w:top w:color="808080" w:space="0" w:sz="6" w:val="single"/>
              <w:left w:color="808080" w:space="0" w:sz="6" w:val="single"/>
              <w:bottom w:color="808080" w:space="0" w:sz="6" w:val="single"/>
              <w:right w:color="808080" w:space="0" w:sz="6" w:val="single"/>
            </w:tcBorders>
            <w:tcMar>
              <w:top w:w="20.0" w:type="dxa"/>
              <w:left w:w="20.0" w:type="dxa"/>
              <w:bottom w:w="20.0" w:type="dxa"/>
              <w:right w:w="20.0" w:type="dxa"/>
            </w:tcMar>
            <w:vAlign w:val="top"/>
          </w:tcPr>
          <w:p w:rsidR="00000000" w:rsidDel="00000000" w:rsidP="00000000" w:rsidRDefault="00000000" w:rsidRPr="00000000" w14:paraId="0000003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 3</w:t>
            </w:r>
          </w:p>
        </w:tc>
        <w:tc>
          <w:tcPr>
            <w:tcBorders>
              <w:top w:color="808080" w:space="0" w:sz="6" w:val="single"/>
              <w:left w:color="808080" w:space="0" w:sz="6" w:val="single"/>
              <w:bottom w:color="808080" w:space="0" w:sz="6" w:val="single"/>
              <w:right w:color="808080" w:space="0" w:sz="6" w:val="single"/>
            </w:tcBorders>
            <w:tcMar>
              <w:top w:w="20.0" w:type="dxa"/>
              <w:left w:w="20.0" w:type="dxa"/>
              <w:bottom w:w="20.0" w:type="dxa"/>
              <w:right w:w="20.0" w:type="dxa"/>
            </w:tcMar>
            <w:vAlign w:val="top"/>
          </w:tcPr>
          <w:p w:rsidR="00000000" w:rsidDel="00000000" w:rsidP="00000000" w:rsidRDefault="00000000" w:rsidRPr="00000000" w14:paraId="0000003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REGIONAL</w:t>
            </w:r>
          </w:p>
        </w:tc>
        <w:tc>
          <w:tcPr>
            <w:tcBorders>
              <w:top w:color="808080" w:space="0" w:sz="6" w:val="single"/>
              <w:left w:color="808080" w:space="0" w:sz="6" w:val="single"/>
              <w:bottom w:color="808080" w:space="0" w:sz="6" w:val="single"/>
              <w:right w:color="808080" w:space="0" w:sz="6" w:val="single"/>
            </w:tcBorders>
            <w:tcMar>
              <w:top w:w="20.0" w:type="dxa"/>
              <w:left w:w="20.0" w:type="dxa"/>
              <w:bottom w:w="20.0" w:type="dxa"/>
              <w:right w:w="20.0" w:type="dxa"/>
            </w:tcMar>
            <w:vAlign w:val="top"/>
          </w:tcPr>
          <w:p w:rsidR="00000000" w:rsidDel="00000000" w:rsidP="00000000" w:rsidRDefault="00000000" w:rsidRPr="00000000" w14:paraId="0000003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ENDEREÇO PARA ENTREGA</w:t>
            </w:r>
          </w:p>
        </w:tc>
        <w:tc>
          <w:tcPr>
            <w:tcBorders>
              <w:top w:color="808080" w:space="0" w:sz="6" w:val="single"/>
              <w:left w:color="808080" w:space="0" w:sz="6" w:val="single"/>
              <w:bottom w:color="808080" w:space="0" w:sz="6" w:val="single"/>
              <w:right w:color="808080" w:space="0" w:sz="6" w:val="single"/>
            </w:tcBorders>
            <w:tcMar>
              <w:top w:w="20.0" w:type="dxa"/>
              <w:left w:w="20.0" w:type="dxa"/>
              <w:bottom w:w="20.0" w:type="dxa"/>
              <w:right w:w="20.0" w:type="dxa"/>
            </w:tcMar>
            <w:vAlign w:val="top"/>
          </w:tcPr>
          <w:p w:rsidR="00000000" w:rsidDel="00000000" w:rsidP="00000000" w:rsidRDefault="00000000" w:rsidRPr="00000000" w14:paraId="0000003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UNIDADE REQUISITANTE</w:t>
            </w:r>
          </w:p>
        </w:tc>
        <w:tc>
          <w:tcPr>
            <w:tcBorders>
              <w:top w:color="808080" w:space="0" w:sz="6" w:val="single"/>
              <w:left w:color="808080" w:space="0" w:sz="6" w:val="single"/>
              <w:bottom w:color="808080" w:space="0" w:sz="6" w:val="single"/>
              <w:right w:color="808080" w:space="0" w:sz="6" w:val="single"/>
            </w:tcBorders>
            <w:tcMar>
              <w:top w:w="20.0" w:type="dxa"/>
              <w:left w:w="20.0" w:type="dxa"/>
              <w:bottom w:w="20.0" w:type="dxa"/>
              <w:right w:w="20.0" w:type="dxa"/>
            </w:tcMar>
            <w:vAlign w:val="top"/>
          </w:tcPr>
          <w:p w:rsidR="00000000" w:rsidDel="00000000" w:rsidP="00000000" w:rsidRDefault="00000000" w:rsidRPr="00000000" w14:paraId="0000003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QUANTIDADE A SER ENTREGUE</w:t>
            </w:r>
          </w:p>
        </w:tc>
      </w:tr>
      <w:tr>
        <w:trPr>
          <w:trHeight w:val="2235" w:hRule="atLeast"/>
        </w:trPr>
        <w:tc>
          <w:tcPr>
            <w:tcBorders>
              <w:top w:color="808080" w:space="0" w:sz="6" w:val="single"/>
              <w:left w:color="808080" w:space="0" w:sz="6" w:val="single"/>
              <w:bottom w:color="808080" w:space="0" w:sz="6" w:val="single"/>
              <w:right w:color="808080" w:space="0" w:sz="6" w:val="single"/>
            </w:tcBorders>
            <w:tcMar>
              <w:top w:w="20.0" w:type="dxa"/>
              <w:left w:w="20.0" w:type="dxa"/>
              <w:bottom w:w="20.0" w:type="dxa"/>
              <w:right w:w="20.0" w:type="dxa"/>
            </w:tcMar>
            <w:vAlign w:val="top"/>
          </w:tcPr>
          <w:p w:rsidR="00000000" w:rsidDel="00000000" w:rsidP="00000000" w:rsidRDefault="00000000" w:rsidRPr="00000000" w14:paraId="00000037">
            <w:pPr>
              <w:ind w:left="60" w:right="60" w:firstLine="0"/>
              <w:jc w:val="center"/>
              <w:rPr>
                <w:rFonts w:ascii="Arial" w:cs="Arial" w:eastAsia="Arial" w:hAnsi="Arial"/>
                <w:sz w:val="16"/>
                <w:szCs w:val="16"/>
              </w:rPr>
            </w:pPr>
            <w:r w:rsidDel="00000000" w:rsidR="00000000" w:rsidRPr="00000000">
              <w:rPr>
                <w:rFonts w:ascii="Arial" w:cs="Arial" w:eastAsia="Arial" w:hAnsi="Arial"/>
                <w:b w:val="1"/>
                <w:sz w:val="16"/>
                <w:szCs w:val="16"/>
                <w:rtl w:val="0"/>
              </w:rPr>
              <w:t xml:space="preserve">Gás</w:t>
            </w:r>
            <w:r w:rsidDel="00000000" w:rsidR="00000000" w:rsidRPr="00000000">
              <w:rPr>
                <w:rFonts w:ascii="Arial" w:cs="Arial" w:eastAsia="Arial" w:hAnsi="Arial"/>
                <w:sz w:val="16"/>
                <w:szCs w:val="16"/>
                <w:rtl w:val="0"/>
              </w:rPr>
              <w:t xml:space="preserve"> liquefeito de petróleo (GLP) (Gás de cozinha) acondicionado em botija de 13 kg em forma de troca, utilizado em fogões convencionais ou industriais para preparação de alimentos</w:t>
            </w:r>
          </w:p>
        </w:tc>
        <w:tc>
          <w:tcPr>
            <w:tcBorders>
              <w:top w:color="808080" w:space="0" w:sz="6" w:val="single"/>
              <w:left w:color="808080" w:space="0" w:sz="6" w:val="single"/>
              <w:bottom w:color="808080" w:space="0" w:sz="6" w:val="single"/>
              <w:right w:color="808080" w:space="0" w:sz="6" w:val="single"/>
            </w:tcBorders>
            <w:tcMar>
              <w:top w:w="20.0" w:type="dxa"/>
              <w:left w:w="20.0" w:type="dxa"/>
              <w:bottom w:w="20.0" w:type="dxa"/>
              <w:right w:w="20.0" w:type="dxa"/>
            </w:tcMar>
            <w:vAlign w:val="top"/>
          </w:tcPr>
          <w:p w:rsidR="00000000" w:rsidDel="00000000" w:rsidP="00000000" w:rsidRDefault="00000000" w:rsidRPr="00000000" w14:paraId="0000003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1ª DRRE</w:t>
            </w:r>
          </w:p>
        </w:tc>
        <w:tc>
          <w:tcPr>
            <w:tcBorders>
              <w:top w:color="808080" w:space="0" w:sz="6" w:val="single"/>
              <w:left w:color="808080" w:space="0" w:sz="6" w:val="single"/>
              <w:bottom w:color="808080" w:space="0" w:sz="6" w:val="single"/>
              <w:right w:color="808080" w:space="0" w:sz="6" w:val="single"/>
            </w:tcBorders>
            <w:tcMar>
              <w:top w:w="20.0" w:type="dxa"/>
              <w:left w:w="20.0" w:type="dxa"/>
              <w:bottom w:w="20.0" w:type="dxa"/>
              <w:right w:w="20.0" w:type="dxa"/>
            </w:tcMar>
            <w:vAlign w:val="top"/>
          </w:tcPr>
          <w:p w:rsidR="00000000" w:rsidDel="00000000" w:rsidP="00000000" w:rsidRDefault="00000000" w:rsidRPr="00000000" w14:paraId="00000039">
            <w:pPr>
              <w:ind w:left="60" w:right="60" w:firstLine="0"/>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CIAC – Centro Integrado de Atendimento ao Contribuinte.</w:t>
            </w:r>
          </w:p>
          <w:p w:rsidR="00000000" w:rsidDel="00000000" w:rsidP="00000000" w:rsidRDefault="00000000" w:rsidRPr="00000000" w14:paraId="0000003A">
            <w:pPr>
              <w:ind w:left="60" w:right="60" w:firstLine="0"/>
              <w:rPr>
                <w:rFonts w:ascii="Arial" w:cs="Arial" w:eastAsia="Arial" w:hAnsi="Arial"/>
                <w:b w:val="1"/>
                <w:i w:val="1"/>
                <w:sz w:val="16"/>
                <w:szCs w:val="16"/>
                <w:u w:val="single"/>
              </w:rPr>
            </w:pPr>
            <w:r w:rsidDel="00000000" w:rsidR="00000000" w:rsidRPr="00000000">
              <w:rPr>
                <w:rFonts w:ascii="Arial" w:cs="Arial" w:eastAsia="Arial" w:hAnsi="Arial"/>
                <w:sz w:val="16"/>
                <w:szCs w:val="16"/>
                <w:rtl w:val="0"/>
              </w:rPr>
              <w:t xml:space="preserve">Endereço: Avenida Tiradentes, 3361 – Setor industrial - CEP 76803-877 - </w:t>
            </w:r>
            <w:r w:rsidDel="00000000" w:rsidR="00000000" w:rsidRPr="00000000">
              <w:rPr>
                <w:rFonts w:ascii="Arial" w:cs="Arial" w:eastAsia="Arial" w:hAnsi="Arial"/>
                <w:b w:val="1"/>
                <w:i w:val="1"/>
                <w:sz w:val="16"/>
                <w:szCs w:val="16"/>
                <w:u w:val="single"/>
                <w:rtl w:val="0"/>
              </w:rPr>
              <w:t xml:space="preserve">Porto Velho - RO.</w:t>
            </w:r>
          </w:p>
        </w:tc>
        <w:tc>
          <w:tcPr>
            <w:tcBorders>
              <w:top w:color="808080" w:space="0" w:sz="6" w:val="single"/>
              <w:left w:color="808080" w:space="0" w:sz="6" w:val="single"/>
              <w:bottom w:color="808080" w:space="0" w:sz="6" w:val="single"/>
              <w:right w:color="808080" w:space="0" w:sz="6" w:val="single"/>
            </w:tcBorders>
            <w:tcMar>
              <w:top w:w="20.0" w:type="dxa"/>
              <w:left w:w="20.0" w:type="dxa"/>
              <w:bottom w:w="20.0" w:type="dxa"/>
              <w:right w:w="20.0" w:type="dxa"/>
            </w:tcMar>
            <w:vAlign w:val="top"/>
          </w:tcPr>
          <w:p w:rsidR="00000000" w:rsidDel="00000000" w:rsidP="00000000" w:rsidRDefault="00000000" w:rsidRPr="00000000" w14:paraId="0000003B">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Porto Velho e Guajará-Mirim </w:t>
            </w:r>
          </w:p>
        </w:tc>
        <w:tc>
          <w:tcPr>
            <w:tcBorders>
              <w:top w:color="808080" w:space="0" w:sz="6" w:val="single"/>
              <w:left w:color="808080" w:space="0" w:sz="6" w:val="single"/>
              <w:bottom w:color="808080" w:space="0" w:sz="6" w:val="single"/>
              <w:right w:color="808080" w:space="0" w:sz="6" w:val="single"/>
            </w:tcBorders>
            <w:tcMar>
              <w:top w:w="20.0" w:type="dxa"/>
              <w:left w:w="20.0" w:type="dxa"/>
              <w:bottom w:w="20.0" w:type="dxa"/>
              <w:right w:w="20.0" w:type="dxa"/>
            </w:tcMar>
            <w:vAlign w:val="top"/>
          </w:tcPr>
          <w:p w:rsidR="00000000" w:rsidDel="00000000" w:rsidP="00000000" w:rsidRDefault="00000000" w:rsidRPr="00000000" w14:paraId="0000003C">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15</w:t>
            </w:r>
          </w:p>
        </w:tc>
      </w:tr>
    </w:tbl>
    <w:p w:rsidR="00000000" w:rsidDel="00000000" w:rsidP="00000000" w:rsidRDefault="00000000" w:rsidRPr="00000000" w14:paraId="0000003D">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E">
      <w:pP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3F">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4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4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4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4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4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4A">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 </w:t>
      </w:r>
      <w:r w:rsidDel="00000000" w:rsidR="00000000" w:rsidRPr="00000000">
        <w:rPr>
          <w:rFonts w:ascii="Arial" w:cs="Arial" w:eastAsia="Arial" w:hAnsi="Arial"/>
          <w:sz w:val="16"/>
          <w:szCs w:val="16"/>
          <w:rtl w:val="0"/>
        </w:rPr>
        <w:t xml:space="preserve">Sem prejuízo das sanções cominadas no art. 87, I, III e IV, da Lei nº 8.666/93, pela inexecução total ou parcial do contrato, a Administração poderá, garantida a prévia e ampla defesa, aplicar à Contratada, multa de até 10% (dez por cento) sobre o valor da parcela inadimplida. </w:t>
      </w:r>
    </w:p>
    <w:p w:rsidR="00000000" w:rsidDel="00000000" w:rsidP="00000000" w:rsidRDefault="00000000" w:rsidRPr="00000000" w14:paraId="0000004B">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 </w:t>
      </w:r>
      <w:r w:rsidDel="00000000" w:rsidR="00000000" w:rsidRPr="00000000">
        <w:rPr>
          <w:rFonts w:ascii="Arial" w:cs="Arial" w:eastAsia="Arial" w:hAnsi="Arial"/>
          <w:sz w:val="16"/>
          <w:szCs w:val="16"/>
          <w:rtl w:val="0"/>
        </w:rPr>
        <w:t xml:space="preserve">Se a adjudicatária se recusar a retirar o instrumento contratual injustificadamente ou se não apresentar situação regular na ocasião dos recebimentos, garantida a prévia e ampla defesa, aplicar à Contratada multa de até 05% (cinco por cento) sobre o valor total do contrato. </w:t>
      </w:r>
    </w:p>
    <w:p w:rsidR="00000000" w:rsidDel="00000000" w:rsidP="00000000" w:rsidRDefault="00000000" w:rsidRPr="00000000" w14:paraId="0000004C">
      <w:pPr>
        <w:spacing w:after="0" w:before="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w:t>
      </w:r>
      <w:r w:rsidDel="00000000" w:rsidR="00000000" w:rsidRPr="00000000">
        <w:rPr>
          <w:rFonts w:ascii="Arial" w:cs="Arial" w:eastAsia="Arial" w:hAnsi="Arial"/>
          <w:sz w:val="16"/>
          <w:szCs w:val="16"/>
          <w:rtl w:val="0"/>
        </w:rPr>
        <w:t xml:space="preserve">A Contratada, adjudicatária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Termo de Referência e das demais cominações legais, devendo ser incluída a penalidade no SICAF e no CAGEFOR.</w:t>
      </w: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4D">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 </w:t>
      </w:r>
      <w:r w:rsidDel="00000000" w:rsidR="00000000" w:rsidRPr="00000000">
        <w:rPr>
          <w:rFonts w:ascii="Arial" w:cs="Arial" w:eastAsia="Arial" w:hAnsi="Arial"/>
          <w:sz w:val="16"/>
          <w:szCs w:val="16"/>
          <w:rtl w:val="0"/>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000000" w:rsidDel="00000000" w:rsidP="00000000" w:rsidRDefault="00000000" w:rsidRPr="00000000" w14:paraId="0000004E">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w:t>
      </w:r>
      <w:r w:rsidDel="00000000" w:rsidR="00000000" w:rsidRPr="00000000">
        <w:rPr>
          <w:rFonts w:ascii="Arial" w:cs="Arial" w:eastAsia="Arial" w:hAnsi="Arial"/>
          <w:sz w:val="16"/>
          <w:szCs w:val="16"/>
          <w:rtl w:val="0"/>
        </w:rPr>
        <w:t xml:space="preserve"> As multas previstas nesta seção não eximem a adjudicatária ou contratada da reparação dos eventuais danos, perdas ou prejuízos que seu ato punível venha causar à Administração. </w:t>
      </w:r>
    </w:p>
    <w:p w:rsidR="00000000" w:rsidDel="00000000" w:rsidP="00000000" w:rsidRDefault="00000000" w:rsidRPr="00000000" w14:paraId="0000004F">
      <w:pPr>
        <w:spacing w:after="0" w:before="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w:t>
      </w:r>
      <w:r w:rsidDel="00000000" w:rsidR="00000000" w:rsidRPr="00000000">
        <w:rPr>
          <w:rFonts w:ascii="Arial" w:cs="Arial" w:eastAsia="Arial" w:hAnsi="Arial"/>
          <w:sz w:val="16"/>
          <w:szCs w:val="16"/>
          <w:rtl w:val="0"/>
        </w:rPr>
        <w:t xml:space="preserve">De acordo com a gravidade do descumprimento, poderá ainda 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50">
      <w:pPr>
        <w:spacing w:after="0" w:before="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w:t>
      </w:r>
      <w:r w:rsidDel="00000000" w:rsidR="00000000" w:rsidRPr="00000000">
        <w:rPr>
          <w:rFonts w:ascii="Arial" w:cs="Arial" w:eastAsia="Arial" w:hAnsi="Arial"/>
          <w:sz w:val="16"/>
          <w:szCs w:val="16"/>
          <w:rtl w:val="0"/>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51">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9.8.</w:t>
      </w:r>
      <w:r w:rsidDel="00000000" w:rsidR="00000000" w:rsidRPr="00000000">
        <w:rPr>
          <w:rFonts w:ascii="Arial" w:cs="Arial" w:eastAsia="Arial" w:hAnsi="Arial"/>
          <w:sz w:val="16"/>
          <w:szCs w:val="16"/>
          <w:rtl w:val="0"/>
        </w:rPr>
        <w:t xml:space="preserve"> São exemplos de infração administrativa penalizáveis, nos termos da Lei nº 8.666, de 1993, da Lei nº 10.520, de 2002, do Decreto nº 3.555, de 2000, e do Decreto nº 5.450, de 2005: </w:t>
      </w:r>
    </w:p>
    <w:p w:rsidR="00000000" w:rsidDel="00000000" w:rsidP="00000000" w:rsidRDefault="00000000" w:rsidRPr="00000000" w14:paraId="00000052">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Inexecução total ou parcial do contrato; </w:t>
      </w:r>
    </w:p>
    <w:p w:rsidR="00000000" w:rsidDel="00000000" w:rsidP="00000000" w:rsidRDefault="00000000" w:rsidRPr="00000000" w14:paraId="00000053">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Apresentação de documentação falsa; </w:t>
      </w:r>
    </w:p>
    <w:p w:rsidR="00000000" w:rsidDel="00000000" w:rsidP="00000000" w:rsidRDefault="00000000" w:rsidRPr="00000000" w14:paraId="00000054">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 Comportamento inidôneo; </w:t>
      </w:r>
    </w:p>
    <w:p w:rsidR="00000000" w:rsidDel="00000000" w:rsidP="00000000" w:rsidRDefault="00000000" w:rsidRPr="00000000" w14:paraId="00000055">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 Fraude fiscal; e) Descumprimento de qualquer dos deveres elencados no Termo de Referência ou no Contrato. </w:t>
      </w:r>
    </w:p>
    <w:p w:rsidR="00000000" w:rsidDel="00000000" w:rsidP="00000000" w:rsidRDefault="00000000" w:rsidRPr="00000000" w14:paraId="00000056">
      <w:pPr>
        <w:spacing w:after="0" w:before="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 </w:t>
      </w:r>
      <w:r w:rsidDel="00000000" w:rsidR="00000000" w:rsidRPr="00000000">
        <w:rPr>
          <w:rFonts w:ascii="Arial" w:cs="Arial" w:eastAsia="Arial" w:hAnsi="Arial"/>
          <w:sz w:val="16"/>
          <w:szCs w:val="16"/>
          <w:rtl w:val="0"/>
        </w:rPr>
        <w:t xml:space="preserve">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57">
      <w:pPr>
        <w:ind w:left="0" w:firstLine="0"/>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w:t>
      </w:r>
      <w:r w:rsidDel="00000000" w:rsidR="00000000" w:rsidRPr="00000000">
        <w:rPr>
          <w:rFonts w:ascii="Arial" w:cs="Arial" w:eastAsia="Arial" w:hAnsi="Arial"/>
          <w:sz w:val="16"/>
          <w:szCs w:val="16"/>
          <w:rtl w:val="0"/>
        </w:rPr>
        <w:t xml:space="preserve"> Para efeito de aplicação de multas, às infrações são atribuídos graus, com percentuais de multa conforme a tabela a seguir, que elenca apenas as principais situações previstas, não eximindo de outras equivalentes que surgirem, conforme o caso, incidentes sobre o valor da parcela inadimplida: </w:t>
      </w:r>
    </w:p>
    <w:p w:rsidR="00000000" w:rsidDel="00000000" w:rsidP="00000000" w:rsidRDefault="00000000" w:rsidRPr="00000000" w14:paraId="00000058">
      <w:pPr>
        <w:ind w:left="0" w:firstLine="0"/>
        <w:rPr>
          <w:rFonts w:ascii="Arial" w:cs="Arial" w:eastAsia="Arial" w:hAnsi="Arial"/>
          <w:sz w:val="16"/>
          <w:szCs w:val="16"/>
        </w:rPr>
      </w:pPr>
      <w:r w:rsidDel="00000000" w:rsidR="00000000" w:rsidRPr="00000000">
        <w:rPr>
          <w:rtl w:val="0"/>
        </w:rPr>
      </w:r>
    </w:p>
    <w:tbl>
      <w:tblPr>
        <w:tblStyle w:val="Table3"/>
        <w:tblW w:w="1093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40"/>
        <w:gridCol w:w="7800"/>
        <w:gridCol w:w="1185"/>
        <w:gridCol w:w="1110"/>
        <w:tblGridChange w:id="0">
          <w:tblGrid>
            <w:gridCol w:w="840"/>
            <w:gridCol w:w="7800"/>
            <w:gridCol w:w="1185"/>
            <w:gridCol w:w="1110"/>
          </w:tblGrid>
        </w:tblGridChange>
      </w:tblGrid>
      <w:tr>
        <w:trPr>
          <w:trHeight w:val="53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9">
            <w:pPr>
              <w:ind w:left="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A">
            <w:pPr>
              <w:ind w:left="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B">
            <w:pPr>
              <w:ind w:left="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 </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C">
            <w:pPr>
              <w:ind w:left="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53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D">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E">
            <w:pPr>
              <w:ind w:left="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w:t>
            </w:r>
            <w:r w:rsidDel="00000000" w:rsidR="00000000" w:rsidRPr="00000000">
              <w:rPr>
                <w:rFonts w:ascii="Arial" w:cs="Arial" w:eastAsia="Arial" w:hAnsi="Arial"/>
                <w:b w:val="1"/>
                <w:i w:val="1"/>
                <w:sz w:val="16"/>
                <w:szCs w:val="16"/>
                <w:u w:val="single"/>
                <w:rtl w:val="0"/>
              </w:rPr>
              <w:t xml:space="preserve">por ocorrência</w:t>
            </w:r>
            <w:r w:rsidDel="00000000" w:rsidR="00000000" w:rsidRPr="00000000">
              <w:rPr>
                <w:rFonts w:ascii="Arial" w:cs="Arial" w:eastAsia="Arial" w:hAnsi="Arial"/>
                <w:sz w:val="16"/>
                <w:szCs w:val="16"/>
                <w:rtl w:val="0"/>
              </w:rPr>
              <w:t xml:space="preserve">.</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F">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0">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4,00%</w:t>
            </w:r>
          </w:p>
        </w:tc>
      </w:tr>
      <w:tr>
        <w:trPr>
          <w:trHeight w:val="53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1">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2">
            <w:pPr>
              <w:ind w:left="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Fazer uso indevido de informações sigilosas a que teve acesso; </w:t>
            </w:r>
            <w:r w:rsidDel="00000000" w:rsidR="00000000" w:rsidRPr="00000000">
              <w:rPr>
                <w:rFonts w:ascii="Arial" w:cs="Arial" w:eastAsia="Arial" w:hAnsi="Arial"/>
                <w:b w:val="1"/>
                <w:i w:val="1"/>
                <w:sz w:val="16"/>
                <w:szCs w:val="16"/>
                <w:u w:val="single"/>
                <w:rtl w:val="0"/>
              </w:rPr>
              <w:t xml:space="preserve">por ocorrência</w:t>
            </w:r>
            <w:r w:rsidDel="00000000" w:rsidR="00000000" w:rsidRPr="00000000">
              <w:rPr>
                <w:rFonts w:ascii="Arial" w:cs="Arial" w:eastAsia="Arial" w:hAnsi="Arial"/>
                <w:sz w:val="16"/>
                <w:szCs w:val="16"/>
                <w:rtl w:val="0"/>
              </w:rPr>
              <w:t xml:space="preserve">.</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3">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4">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4,00%</w:t>
            </w:r>
          </w:p>
        </w:tc>
      </w:tr>
      <w:tr>
        <w:trPr>
          <w:trHeight w:val="53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5">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6">
            <w:pPr>
              <w:ind w:left="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os serviços contratuais; </w:t>
            </w:r>
            <w:r w:rsidDel="00000000" w:rsidR="00000000" w:rsidRPr="00000000">
              <w:rPr>
                <w:rFonts w:ascii="Arial" w:cs="Arial" w:eastAsia="Arial" w:hAnsi="Arial"/>
                <w:b w:val="1"/>
                <w:i w:val="1"/>
                <w:sz w:val="16"/>
                <w:szCs w:val="16"/>
                <w:u w:val="single"/>
                <w:rtl w:val="0"/>
              </w:rPr>
              <w:t xml:space="preserve">por dia</w:t>
            </w:r>
            <w:r w:rsidDel="00000000" w:rsidR="00000000" w:rsidRPr="00000000">
              <w:rPr>
                <w:rFonts w:ascii="Arial" w:cs="Arial" w:eastAsia="Arial" w:hAnsi="Arial"/>
                <w:sz w:val="16"/>
                <w:szCs w:val="16"/>
                <w:rtl w:val="0"/>
              </w:rPr>
              <w:t xml:space="preserve">.</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7">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8">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3,20%</w:t>
            </w:r>
          </w:p>
        </w:tc>
      </w:tr>
      <w:tr>
        <w:trPr>
          <w:trHeight w:val="53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9">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A">
            <w:pPr>
              <w:ind w:left="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w:t>
            </w:r>
            <w:r w:rsidDel="00000000" w:rsidR="00000000" w:rsidRPr="00000000">
              <w:rPr>
                <w:rFonts w:ascii="Arial" w:cs="Arial" w:eastAsia="Arial" w:hAnsi="Arial"/>
                <w:b w:val="1"/>
                <w:i w:val="1"/>
                <w:sz w:val="16"/>
                <w:szCs w:val="16"/>
                <w:u w:val="single"/>
                <w:rtl w:val="0"/>
              </w:rPr>
              <w:t xml:space="preserve">por ocorrência</w:t>
            </w:r>
            <w:r w:rsidDel="00000000" w:rsidR="00000000" w:rsidRPr="00000000">
              <w:rPr>
                <w:rFonts w:ascii="Arial" w:cs="Arial" w:eastAsia="Arial" w:hAnsi="Arial"/>
                <w:sz w:val="16"/>
                <w:szCs w:val="16"/>
                <w:rtl w:val="0"/>
              </w:rPr>
              <w:t xml:space="preserve">.</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B">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C">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3,20%</w:t>
            </w:r>
          </w:p>
        </w:tc>
      </w:tr>
      <w:tr>
        <w:trPr>
          <w:trHeight w:val="80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D">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E">
            <w:pPr>
              <w:ind w:left="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Permitir o atraso na prestação de informações e esclarecimentos solicitados pela Contratante, até o limite de 24 (vinte e quatro) horas de atraso. </w:t>
            </w:r>
            <w:r w:rsidDel="00000000" w:rsidR="00000000" w:rsidRPr="00000000">
              <w:rPr>
                <w:rFonts w:ascii="Arial" w:cs="Arial" w:eastAsia="Arial" w:hAnsi="Arial"/>
                <w:b w:val="1"/>
                <w:i w:val="1"/>
                <w:sz w:val="16"/>
                <w:szCs w:val="16"/>
                <w:u w:val="single"/>
                <w:rtl w:val="0"/>
              </w:rPr>
              <w:t xml:space="preserve">Sobre o valor da parcela inadimplida do contrato</w:t>
            </w:r>
            <w:r w:rsidDel="00000000" w:rsidR="00000000" w:rsidRPr="00000000">
              <w:rPr>
                <w:rFonts w:ascii="Arial" w:cs="Arial" w:eastAsia="Arial" w:hAnsi="Arial"/>
                <w:sz w:val="16"/>
                <w:szCs w:val="16"/>
                <w:rtl w:val="0"/>
              </w:rPr>
              <w:t xml:space="preserve">.</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F">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0">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3,20%</w:t>
            </w:r>
          </w:p>
        </w:tc>
      </w:tr>
      <w:tr>
        <w:trPr>
          <w:trHeight w:val="53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1">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2">
            <w:pPr>
              <w:ind w:left="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executar serviço determinado pela FISCALIZAÇÃO, sem motivo justificado; </w:t>
            </w:r>
            <w:r w:rsidDel="00000000" w:rsidR="00000000" w:rsidRPr="00000000">
              <w:rPr>
                <w:rFonts w:ascii="Arial" w:cs="Arial" w:eastAsia="Arial" w:hAnsi="Arial"/>
                <w:b w:val="1"/>
                <w:i w:val="1"/>
                <w:sz w:val="16"/>
                <w:szCs w:val="16"/>
                <w:u w:val="single"/>
                <w:rtl w:val="0"/>
              </w:rPr>
              <w:t xml:space="preserve">por ocorrência</w:t>
            </w:r>
            <w:r w:rsidDel="00000000" w:rsidR="00000000" w:rsidRPr="00000000">
              <w:rPr>
                <w:rFonts w:ascii="Arial" w:cs="Arial" w:eastAsia="Arial" w:hAnsi="Arial"/>
                <w:sz w:val="16"/>
                <w:szCs w:val="16"/>
                <w:rtl w:val="0"/>
              </w:rPr>
              <w:t xml:space="preserve">;</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3">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4">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1,60%</w:t>
            </w:r>
          </w:p>
        </w:tc>
      </w:tr>
      <w:tr>
        <w:trPr>
          <w:trHeight w:val="80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5">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07</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6">
            <w:pPr>
              <w:ind w:left="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Executar serviço incompleto, paliativo substitutivo como por caráter permanente, ou deixar de providenciar recomposição complementar; </w:t>
            </w:r>
            <w:r w:rsidDel="00000000" w:rsidR="00000000" w:rsidRPr="00000000">
              <w:rPr>
                <w:rFonts w:ascii="Arial" w:cs="Arial" w:eastAsia="Arial" w:hAnsi="Arial"/>
                <w:b w:val="1"/>
                <w:i w:val="1"/>
                <w:sz w:val="16"/>
                <w:szCs w:val="16"/>
                <w:u w:val="single"/>
                <w:rtl w:val="0"/>
              </w:rPr>
              <w:t xml:space="preserve">por ocorrência</w:t>
            </w:r>
            <w:r w:rsidDel="00000000" w:rsidR="00000000" w:rsidRPr="00000000">
              <w:rPr>
                <w:rFonts w:ascii="Arial" w:cs="Arial" w:eastAsia="Arial" w:hAnsi="Arial"/>
                <w:sz w:val="16"/>
                <w:szCs w:val="16"/>
                <w:rtl w:val="0"/>
              </w:rPr>
              <w:t xml:space="preserve">.</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7">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8">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0,40%</w:t>
            </w:r>
          </w:p>
        </w:tc>
      </w:tr>
      <w:tr>
        <w:trPr>
          <w:trHeight w:val="53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9">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A">
            <w:pPr>
              <w:ind w:left="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de serviço ou substituição de material; </w:t>
            </w:r>
            <w:r w:rsidDel="00000000" w:rsidR="00000000" w:rsidRPr="00000000">
              <w:rPr>
                <w:rFonts w:ascii="Arial" w:cs="Arial" w:eastAsia="Arial" w:hAnsi="Arial"/>
                <w:b w:val="1"/>
                <w:i w:val="1"/>
                <w:sz w:val="16"/>
                <w:szCs w:val="16"/>
                <w:u w:val="single"/>
                <w:rtl w:val="0"/>
              </w:rPr>
              <w:t xml:space="preserve">por ocorrência</w:t>
            </w:r>
            <w:r w:rsidDel="00000000" w:rsidR="00000000" w:rsidRPr="00000000">
              <w:rPr>
                <w:rFonts w:ascii="Arial" w:cs="Arial" w:eastAsia="Arial" w:hAnsi="Arial"/>
                <w:sz w:val="16"/>
                <w:szCs w:val="16"/>
                <w:rtl w:val="0"/>
              </w:rPr>
              <w:t xml:space="preserve">.</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B">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C">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0,40%</w:t>
            </w:r>
          </w:p>
        </w:tc>
      </w:tr>
      <w:tr>
        <w:trPr>
          <w:trHeight w:val="80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D">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09</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E">
            <w:pPr>
              <w:ind w:left="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Efetuar cobrança por serviços não prestados, ou em desacordo com os valores estabelecidos no contrato; </w:t>
            </w:r>
            <w:r w:rsidDel="00000000" w:rsidR="00000000" w:rsidRPr="00000000">
              <w:rPr>
                <w:rFonts w:ascii="Arial" w:cs="Arial" w:eastAsia="Arial" w:hAnsi="Arial"/>
                <w:b w:val="1"/>
                <w:i w:val="1"/>
                <w:sz w:val="16"/>
                <w:szCs w:val="16"/>
                <w:u w:val="single"/>
                <w:rtl w:val="0"/>
              </w:rPr>
              <w:t xml:space="preserve">por ocorrência</w:t>
            </w:r>
            <w:r w:rsidDel="00000000" w:rsidR="00000000" w:rsidRPr="00000000">
              <w:rPr>
                <w:rFonts w:ascii="Arial" w:cs="Arial" w:eastAsia="Arial" w:hAnsi="Arial"/>
                <w:sz w:val="16"/>
                <w:szCs w:val="16"/>
                <w:rtl w:val="0"/>
              </w:rPr>
              <w:t xml:space="preserve">.</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F">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80">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0,40%</w:t>
            </w:r>
          </w:p>
        </w:tc>
      </w:tr>
      <w:tr>
        <w:trPr>
          <w:trHeight w:val="530" w:hRule="atLeast"/>
        </w:trPr>
        <w:tc>
          <w:tcPr>
            <w:gridSpan w:val="4"/>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81">
            <w:pPr>
              <w:ind w:left="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800" w:hRule="atLeast"/>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5">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6">
            <w:pPr>
              <w:ind w:left="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execução do contrato; </w:t>
            </w:r>
            <w:r w:rsidDel="00000000" w:rsidR="00000000" w:rsidRPr="00000000">
              <w:rPr>
                <w:rFonts w:ascii="Arial" w:cs="Arial" w:eastAsia="Arial" w:hAnsi="Arial"/>
                <w:b w:val="1"/>
                <w:i w:val="1"/>
                <w:sz w:val="16"/>
                <w:szCs w:val="16"/>
                <w:u w:val="single"/>
                <w:rtl w:val="0"/>
              </w:rPr>
              <w:t xml:space="preserve">por dia</w:t>
            </w:r>
            <w:r w:rsidDel="00000000" w:rsidR="00000000" w:rsidRPr="00000000">
              <w:rPr>
                <w:rFonts w:ascii="Arial" w:cs="Arial" w:eastAsia="Arial" w:hAnsi="Arial"/>
                <w:sz w:val="16"/>
                <w:szCs w:val="16"/>
                <w:rtl w:val="0"/>
              </w:rPr>
              <w:t xml:space="preserve">; e </w:t>
            </w:r>
            <w:r w:rsidDel="00000000" w:rsidR="00000000" w:rsidRPr="00000000">
              <w:rPr>
                <w:rFonts w:ascii="Arial" w:cs="Arial" w:eastAsia="Arial" w:hAnsi="Arial"/>
                <w:b w:val="1"/>
                <w:i w:val="1"/>
                <w:sz w:val="16"/>
                <w:szCs w:val="16"/>
                <w:u w:val="single"/>
                <w:rtl w:val="0"/>
              </w:rPr>
              <w:t xml:space="preserve">por ocorrência</w:t>
            </w:r>
            <w:r w:rsidDel="00000000" w:rsidR="00000000" w:rsidRPr="00000000">
              <w:rPr>
                <w:rFonts w:ascii="Arial" w:cs="Arial" w:eastAsia="Arial" w:hAnsi="Arial"/>
                <w:sz w:val="16"/>
                <w:szCs w:val="16"/>
                <w:rtl w:val="0"/>
              </w:rPr>
              <w:t xml:space="preserve">;</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7">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8">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3,20%</w:t>
            </w:r>
          </w:p>
        </w:tc>
      </w:tr>
      <w:tr>
        <w:trPr>
          <w:trHeight w:val="530" w:hRule="atLeast"/>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9">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A">
            <w:pPr>
              <w:ind w:left="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Efetuar a restauração do sistema e reposição de equipamentos danificados; </w:t>
            </w:r>
            <w:r w:rsidDel="00000000" w:rsidR="00000000" w:rsidRPr="00000000">
              <w:rPr>
                <w:rFonts w:ascii="Arial" w:cs="Arial" w:eastAsia="Arial" w:hAnsi="Arial"/>
                <w:b w:val="1"/>
                <w:i w:val="1"/>
                <w:sz w:val="16"/>
                <w:szCs w:val="16"/>
                <w:u w:val="single"/>
                <w:rtl w:val="0"/>
              </w:rPr>
              <w:t xml:space="preserve">por motivo</w:t>
            </w:r>
            <w:r w:rsidDel="00000000" w:rsidR="00000000" w:rsidRPr="00000000">
              <w:rPr>
                <w:rFonts w:ascii="Arial" w:cs="Arial" w:eastAsia="Arial" w:hAnsi="Arial"/>
                <w:sz w:val="16"/>
                <w:szCs w:val="16"/>
                <w:rtl w:val="0"/>
              </w:rPr>
              <w:t xml:space="preserve">; e </w:t>
            </w:r>
            <w:r w:rsidDel="00000000" w:rsidR="00000000" w:rsidRPr="00000000">
              <w:rPr>
                <w:rFonts w:ascii="Arial" w:cs="Arial" w:eastAsia="Arial" w:hAnsi="Arial"/>
                <w:b w:val="1"/>
                <w:i w:val="1"/>
                <w:sz w:val="16"/>
                <w:szCs w:val="16"/>
                <w:u w:val="single"/>
                <w:rtl w:val="0"/>
              </w:rPr>
              <w:t xml:space="preserve">por dia</w:t>
            </w:r>
            <w:r w:rsidDel="00000000" w:rsidR="00000000" w:rsidRPr="00000000">
              <w:rPr>
                <w:rFonts w:ascii="Arial" w:cs="Arial" w:eastAsia="Arial" w:hAnsi="Arial"/>
                <w:sz w:val="16"/>
                <w:szCs w:val="16"/>
                <w:rtl w:val="0"/>
              </w:rPr>
              <w:t xml:space="preserve">.</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B">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C">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1,60%</w:t>
            </w:r>
          </w:p>
        </w:tc>
      </w:tr>
      <w:tr>
        <w:trPr>
          <w:trHeight w:val="800" w:hRule="atLeast"/>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D">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E">
            <w:pPr>
              <w:ind w:left="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Projeto Básico e seus anexos, mesmo que não previstos nesta tabela de multas, após reincidência formalmente notificada pela FISCALIZAÇÃO; </w:t>
            </w:r>
            <w:r w:rsidDel="00000000" w:rsidR="00000000" w:rsidRPr="00000000">
              <w:rPr>
                <w:rFonts w:ascii="Arial" w:cs="Arial" w:eastAsia="Arial" w:hAnsi="Arial"/>
                <w:b w:val="1"/>
                <w:i w:val="1"/>
                <w:sz w:val="16"/>
                <w:szCs w:val="16"/>
                <w:u w:val="single"/>
                <w:rtl w:val="0"/>
              </w:rPr>
              <w:t xml:space="preserve">por ocorrência</w:t>
            </w:r>
            <w:r w:rsidDel="00000000" w:rsidR="00000000" w:rsidRPr="00000000">
              <w:rPr>
                <w:rFonts w:ascii="Arial" w:cs="Arial" w:eastAsia="Arial" w:hAnsi="Arial"/>
                <w:sz w:val="16"/>
                <w:szCs w:val="16"/>
                <w:rtl w:val="0"/>
              </w:rPr>
              <w:t xml:space="preserve">.</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F">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0">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0,80%</w:t>
            </w:r>
          </w:p>
        </w:tc>
      </w:tr>
      <w:tr>
        <w:trPr>
          <w:trHeight w:val="530" w:hRule="atLeast"/>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1">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2">
            <w:pPr>
              <w:ind w:left="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do contrato; </w:t>
            </w:r>
            <w:r w:rsidDel="00000000" w:rsidR="00000000" w:rsidRPr="00000000">
              <w:rPr>
                <w:rFonts w:ascii="Arial" w:cs="Arial" w:eastAsia="Arial" w:hAnsi="Arial"/>
                <w:b w:val="1"/>
                <w:i w:val="1"/>
                <w:sz w:val="16"/>
                <w:szCs w:val="16"/>
                <w:u w:val="single"/>
                <w:rtl w:val="0"/>
              </w:rPr>
              <w:t xml:space="preserve">por ocorrência</w:t>
            </w:r>
            <w:r w:rsidDel="00000000" w:rsidR="00000000" w:rsidRPr="00000000">
              <w:rPr>
                <w:rFonts w:ascii="Arial" w:cs="Arial" w:eastAsia="Arial" w:hAnsi="Arial"/>
                <w:sz w:val="16"/>
                <w:szCs w:val="16"/>
                <w:rtl w:val="0"/>
              </w:rPr>
              <w:t xml:space="preserve">.</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3">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4">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0,80%</w:t>
            </w:r>
          </w:p>
        </w:tc>
      </w:tr>
      <w:tr>
        <w:trPr>
          <w:trHeight w:val="800" w:hRule="atLeast"/>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5">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14</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6">
            <w:pPr>
              <w:ind w:left="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Iniciar execução de serviço nos prazos estabelecidos pela FISCALIZAÇÃO, observados os limites mínimos estabelecidos por este Contrato; </w:t>
            </w:r>
            <w:r w:rsidDel="00000000" w:rsidR="00000000" w:rsidRPr="00000000">
              <w:rPr>
                <w:rFonts w:ascii="Arial" w:cs="Arial" w:eastAsia="Arial" w:hAnsi="Arial"/>
                <w:b w:val="1"/>
                <w:i w:val="1"/>
                <w:sz w:val="16"/>
                <w:szCs w:val="16"/>
                <w:u w:val="single"/>
                <w:rtl w:val="0"/>
              </w:rPr>
              <w:t xml:space="preserve">por serviço</w:t>
            </w:r>
            <w:r w:rsidDel="00000000" w:rsidR="00000000" w:rsidRPr="00000000">
              <w:rPr>
                <w:rFonts w:ascii="Arial" w:cs="Arial" w:eastAsia="Arial" w:hAnsi="Arial"/>
                <w:sz w:val="16"/>
                <w:szCs w:val="16"/>
                <w:rtl w:val="0"/>
              </w:rPr>
              <w:t xml:space="preserve">; e </w:t>
            </w:r>
            <w:r w:rsidDel="00000000" w:rsidR="00000000" w:rsidRPr="00000000">
              <w:rPr>
                <w:rFonts w:ascii="Arial" w:cs="Arial" w:eastAsia="Arial" w:hAnsi="Arial"/>
                <w:b w:val="1"/>
                <w:i w:val="1"/>
                <w:sz w:val="16"/>
                <w:szCs w:val="16"/>
                <w:u w:val="single"/>
                <w:rtl w:val="0"/>
              </w:rPr>
              <w:t xml:space="preserve">por ocorrência</w:t>
            </w:r>
            <w:r w:rsidDel="00000000" w:rsidR="00000000" w:rsidRPr="00000000">
              <w:rPr>
                <w:rFonts w:ascii="Arial" w:cs="Arial" w:eastAsia="Arial" w:hAnsi="Arial"/>
                <w:sz w:val="16"/>
                <w:szCs w:val="16"/>
                <w:rtl w:val="0"/>
              </w:rPr>
              <w:t xml:space="preserve">.</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7">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8">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0,40%</w:t>
            </w:r>
          </w:p>
        </w:tc>
      </w:tr>
      <w:tr>
        <w:trPr>
          <w:trHeight w:val="530" w:hRule="atLeast"/>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9">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15</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A">
            <w:pPr>
              <w:ind w:left="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Ressarcir o órgão por eventuais danos causados por seus funcionários, em Veículos, equipamentos etc. </w:t>
            </w:r>
            <w:r w:rsidDel="00000000" w:rsidR="00000000" w:rsidRPr="00000000">
              <w:rPr>
                <w:rFonts w:ascii="Arial" w:cs="Arial" w:eastAsia="Arial" w:hAnsi="Arial"/>
                <w:b w:val="1"/>
                <w:i w:val="1"/>
                <w:sz w:val="16"/>
                <w:szCs w:val="16"/>
                <w:u w:val="single"/>
                <w:rtl w:val="0"/>
              </w:rPr>
              <w:t xml:space="preserve">Por ocorrência</w:t>
            </w:r>
            <w:r w:rsidDel="00000000" w:rsidR="00000000" w:rsidRPr="00000000">
              <w:rPr>
                <w:rFonts w:ascii="Arial" w:cs="Arial" w:eastAsia="Arial" w:hAnsi="Arial"/>
                <w:sz w:val="16"/>
                <w:szCs w:val="16"/>
                <w:rtl w:val="0"/>
              </w:rPr>
              <w:t xml:space="preserve">.</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B">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C">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0,40%</w:t>
            </w:r>
          </w:p>
        </w:tc>
      </w:tr>
      <w:tr>
        <w:trPr>
          <w:trHeight w:val="530" w:hRule="atLeast"/>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D">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E">
            <w:pPr>
              <w:ind w:left="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Fornecer as senhas e relatórios exigidos para o objeto; </w:t>
            </w:r>
            <w:r w:rsidDel="00000000" w:rsidR="00000000" w:rsidRPr="00000000">
              <w:rPr>
                <w:rFonts w:ascii="Arial" w:cs="Arial" w:eastAsia="Arial" w:hAnsi="Arial"/>
                <w:b w:val="1"/>
                <w:i w:val="1"/>
                <w:sz w:val="16"/>
                <w:szCs w:val="16"/>
                <w:u w:val="single"/>
                <w:rtl w:val="0"/>
              </w:rPr>
              <w:t xml:space="preserve">por tipo</w:t>
            </w:r>
            <w:r w:rsidDel="00000000" w:rsidR="00000000" w:rsidRPr="00000000">
              <w:rPr>
                <w:rFonts w:ascii="Arial" w:cs="Arial" w:eastAsia="Arial" w:hAnsi="Arial"/>
                <w:sz w:val="16"/>
                <w:szCs w:val="16"/>
                <w:rtl w:val="0"/>
              </w:rPr>
              <w:t xml:space="preserve">; e </w:t>
            </w:r>
            <w:r w:rsidDel="00000000" w:rsidR="00000000" w:rsidRPr="00000000">
              <w:rPr>
                <w:rFonts w:ascii="Arial" w:cs="Arial" w:eastAsia="Arial" w:hAnsi="Arial"/>
                <w:b w:val="1"/>
                <w:i w:val="1"/>
                <w:sz w:val="16"/>
                <w:szCs w:val="16"/>
                <w:u w:val="single"/>
                <w:rtl w:val="0"/>
              </w:rPr>
              <w:t xml:space="preserve">por ocorrência</w:t>
            </w:r>
            <w:r w:rsidDel="00000000" w:rsidR="00000000" w:rsidRPr="00000000">
              <w:rPr>
                <w:rFonts w:ascii="Arial" w:cs="Arial" w:eastAsia="Arial" w:hAnsi="Arial"/>
                <w:sz w:val="16"/>
                <w:szCs w:val="16"/>
                <w:rtl w:val="0"/>
              </w:rPr>
              <w:t xml:space="preserve">.</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F">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A0">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0,40%</w:t>
            </w:r>
          </w:p>
        </w:tc>
      </w:tr>
      <w:tr>
        <w:trPr>
          <w:trHeight w:val="530" w:hRule="atLeast"/>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A1">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17</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A2">
            <w:pPr>
              <w:ind w:left="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w:t>
            </w:r>
            <w:r w:rsidDel="00000000" w:rsidR="00000000" w:rsidRPr="00000000">
              <w:rPr>
                <w:rFonts w:ascii="Arial" w:cs="Arial" w:eastAsia="Arial" w:hAnsi="Arial"/>
                <w:b w:val="1"/>
                <w:i w:val="1"/>
                <w:sz w:val="16"/>
                <w:szCs w:val="16"/>
                <w:u w:val="single"/>
                <w:rtl w:val="0"/>
              </w:rPr>
              <w:t xml:space="preserve">por item</w:t>
            </w:r>
            <w:r w:rsidDel="00000000" w:rsidR="00000000" w:rsidRPr="00000000">
              <w:rPr>
                <w:rFonts w:ascii="Arial" w:cs="Arial" w:eastAsia="Arial" w:hAnsi="Arial"/>
                <w:sz w:val="16"/>
                <w:szCs w:val="16"/>
                <w:rtl w:val="0"/>
              </w:rPr>
              <w:t xml:space="preserve">; e </w:t>
            </w:r>
            <w:r w:rsidDel="00000000" w:rsidR="00000000" w:rsidRPr="00000000">
              <w:rPr>
                <w:rFonts w:ascii="Arial" w:cs="Arial" w:eastAsia="Arial" w:hAnsi="Arial"/>
                <w:b w:val="1"/>
                <w:i w:val="1"/>
                <w:sz w:val="16"/>
                <w:szCs w:val="16"/>
                <w:u w:val="single"/>
                <w:rtl w:val="0"/>
              </w:rPr>
              <w:t xml:space="preserve">por ocorrência</w:t>
            </w:r>
            <w:r w:rsidDel="00000000" w:rsidR="00000000" w:rsidRPr="00000000">
              <w:rPr>
                <w:rFonts w:ascii="Arial" w:cs="Arial" w:eastAsia="Arial" w:hAnsi="Arial"/>
                <w:sz w:val="16"/>
                <w:szCs w:val="16"/>
                <w:rtl w:val="0"/>
              </w:rPr>
              <w:t xml:space="preserve">.</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A3">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A4">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0,20%</w:t>
            </w:r>
          </w:p>
        </w:tc>
      </w:tr>
      <w:tr>
        <w:trPr>
          <w:trHeight w:val="800" w:hRule="atLeast"/>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A5">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18</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A6">
            <w:pPr>
              <w:ind w:left="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Substituir funcionário que se conduza de modo inconveniente ou não atenda às necessidades do Órgão; </w:t>
            </w:r>
            <w:r w:rsidDel="00000000" w:rsidR="00000000" w:rsidRPr="00000000">
              <w:rPr>
                <w:rFonts w:ascii="Arial" w:cs="Arial" w:eastAsia="Arial" w:hAnsi="Arial"/>
                <w:b w:val="1"/>
                <w:i w:val="1"/>
                <w:sz w:val="16"/>
                <w:szCs w:val="16"/>
                <w:u w:val="single"/>
                <w:rtl w:val="0"/>
              </w:rPr>
              <w:t xml:space="preserve">por funcionário</w:t>
            </w:r>
            <w:r w:rsidDel="00000000" w:rsidR="00000000" w:rsidRPr="00000000">
              <w:rPr>
                <w:rFonts w:ascii="Arial" w:cs="Arial" w:eastAsia="Arial" w:hAnsi="Arial"/>
                <w:sz w:val="16"/>
                <w:szCs w:val="16"/>
                <w:rtl w:val="0"/>
              </w:rPr>
              <w:t xml:space="preserve">; e </w:t>
            </w:r>
            <w:r w:rsidDel="00000000" w:rsidR="00000000" w:rsidRPr="00000000">
              <w:rPr>
                <w:rFonts w:ascii="Arial" w:cs="Arial" w:eastAsia="Arial" w:hAnsi="Arial"/>
                <w:b w:val="1"/>
                <w:i w:val="1"/>
                <w:sz w:val="16"/>
                <w:szCs w:val="16"/>
                <w:u w:val="single"/>
                <w:rtl w:val="0"/>
              </w:rPr>
              <w:t xml:space="preserve">por dia</w:t>
            </w:r>
            <w:r w:rsidDel="00000000" w:rsidR="00000000" w:rsidRPr="00000000">
              <w:rPr>
                <w:rFonts w:ascii="Arial" w:cs="Arial" w:eastAsia="Arial" w:hAnsi="Arial"/>
                <w:sz w:val="16"/>
                <w:szCs w:val="16"/>
                <w:rtl w:val="0"/>
              </w:rPr>
              <w:t xml:space="preserve">.</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A7">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A8">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0,20%</w:t>
            </w:r>
          </w:p>
        </w:tc>
      </w:tr>
      <w:tr>
        <w:trPr>
          <w:trHeight w:val="530" w:hRule="atLeast"/>
        </w:trPr>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A9">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19</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AA">
            <w:pPr>
              <w:ind w:left="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Fornecer suporte técnico à Contratante; </w:t>
            </w:r>
            <w:r w:rsidDel="00000000" w:rsidR="00000000" w:rsidRPr="00000000">
              <w:rPr>
                <w:rFonts w:ascii="Arial" w:cs="Arial" w:eastAsia="Arial" w:hAnsi="Arial"/>
                <w:b w:val="1"/>
                <w:i w:val="1"/>
                <w:sz w:val="16"/>
                <w:szCs w:val="16"/>
                <w:u w:val="single"/>
                <w:rtl w:val="0"/>
              </w:rPr>
              <w:t xml:space="preserve">por ocorrência</w:t>
            </w:r>
            <w:r w:rsidDel="00000000" w:rsidR="00000000" w:rsidRPr="00000000">
              <w:rPr>
                <w:rFonts w:ascii="Arial" w:cs="Arial" w:eastAsia="Arial" w:hAnsi="Arial"/>
                <w:sz w:val="16"/>
                <w:szCs w:val="16"/>
                <w:rtl w:val="0"/>
              </w:rPr>
              <w:t xml:space="preserve">; e </w:t>
            </w:r>
            <w:r w:rsidDel="00000000" w:rsidR="00000000" w:rsidRPr="00000000">
              <w:rPr>
                <w:rFonts w:ascii="Arial" w:cs="Arial" w:eastAsia="Arial" w:hAnsi="Arial"/>
                <w:b w:val="1"/>
                <w:i w:val="1"/>
                <w:sz w:val="16"/>
                <w:szCs w:val="16"/>
                <w:u w:val="single"/>
                <w:rtl w:val="0"/>
              </w:rPr>
              <w:t xml:space="preserve">por dia</w:t>
            </w:r>
            <w:r w:rsidDel="00000000" w:rsidR="00000000" w:rsidRPr="00000000">
              <w:rPr>
                <w:rFonts w:ascii="Arial" w:cs="Arial" w:eastAsia="Arial" w:hAnsi="Arial"/>
                <w:sz w:val="16"/>
                <w:szCs w:val="16"/>
                <w:rtl w:val="0"/>
              </w:rPr>
              <w:t xml:space="preserve">.</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AB">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AC">
            <w:pPr>
              <w:ind w:left="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0,20%</w:t>
            </w:r>
          </w:p>
        </w:tc>
      </w:tr>
    </w:tbl>
    <w:p w:rsidR="00000000" w:rsidDel="00000000" w:rsidP="00000000" w:rsidRDefault="00000000" w:rsidRPr="00000000" w14:paraId="000000AD">
      <w:pPr>
        <w:ind w:left="0" w:right="60" w:firstLine="0"/>
        <w:rPr>
          <w:rFonts w:ascii="Arial" w:cs="Arial" w:eastAsia="Arial" w:hAnsi="Arial"/>
          <w:b w:val="1"/>
          <w:i w:val="1"/>
          <w:sz w:val="16"/>
          <w:szCs w:val="16"/>
        </w:rPr>
      </w:pPr>
      <w:r w:rsidDel="00000000" w:rsidR="00000000" w:rsidRPr="00000000">
        <w:rPr>
          <w:rFonts w:ascii="Arial" w:cs="Arial" w:eastAsia="Arial" w:hAnsi="Arial"/>
          <w:b w:val="1"/>
          <w:sz w:val="16"/>
          <w:szCs w:val="16"/>
          <w:rtl w:val="0"/>
        </w:rPr>
        <w:t xml:space="preserve">(</w:t>
      </w:r>
      <w:r w:rsidDel="00000000" w:rsidR="00000000" w:rsidRPr="00000000">
        <w:rPr>
          <w:rFonts w:ascii="Arial" w:cs="Arial" w:eastAsia="Arial" w:hAnsi="Arial"/>
          <w:b w:val="1"/>
          <w:i w:val="1"/>
          <w:sz w:val="16"/>
          <w:szCs w:val="16"/>
          <w:rtl w:val="0"/>
        </w:rPr>
        <w:t xml:space="preserve">*) SOBRE O VALOR PROPORCIONAL À OBRIGAÇÃO INADIMPLIDA</w:t>
      </w:r>
    </w:p>
    <w:p w:rsidR="00000000" w:rsidDel="00000000" w:rsidP="00000000" w:rsidRDefault="00000000" w:rsidRPr="00000000" w14:paraId="000000AE">
      <w:pPr>
        <w:ind w:left="0" w:right="60" w:firstLine="0"/>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w:t>
      </w:r>
      <w:r w:rsidDel="00000000" w:rsidR="00000000" w:rsidRPr="00000000">
        <w:rPr>
          <w:rFonts w:ascii="Arial" w:cs="Arial" w:eastAsia="Arial" w:hAnsi="Arial"/>
          <w:sz w:val="16"/>
          <w:szCs w:val="16"/>
          <w:rtl w:val="0"/>
        </w:rPr>
        <w:t xml:space="preserve">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AF">
      <w:pPr>
        <w:ind w:left="0" w:right="60" w:firstLine="0"/>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w:t>
      </w:r>
      <w:r w:rsidDel="00000000" w:rsidR="00000000" w:rsidRPr="00000000">
        <w:rPr>
          <w:rFonts w:ascii="Arial" w:cs="Arial" w:eastAsia="Arial" w:hAnsi="Arial"/>
          <w:sz w:val="16"/>
          <w:szCs w:val="16"/>
          <w:rtl w:val="0"/>
        </w:rPr>
        <w:t xml:space="preserve"> Após 30 (trinta) dias da falta de execução do objeto, será considerada inexecução total do contrato, o que ensejará a rescisão contratual. </w:t>
      </w:r>
    </w:p>
    <w:p w:rsidR="00000000" w:rsidDel="00000000" w:rsidP="00000000" w:rsidRDefault="00000000" w:rsidRPr="00000000" w14:paraId="000000B0">
      <w:pPr>
        <w:ind w:left="0" w:right="60" w:firstLine="0"/>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w:t>
      </w:r>
      <w:r w:rsidDel="00000000" w:rsidR="00000000" w:rsidRPr="00000000">
        <w:rPr>
          <w:rFonts w:ascii="Arial" w:cs="Arial" w:eastAsia="Arial" w:hAnsi="Arial"/>
          <w:sz w:val="16"/>
          <w:szCs w:val="16"/>
          <w:rtl w:val="0"/>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000000" w:rsidDel="00000000" w:rsidP="00000000" w:rsidRDefault="00000000" w:rsidRPr="00000000" w14:paraId="000000B1">
      <w:pPr>
        <w:ind w:left="0" w:right="60" w:firstLine="0"/>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w:t>
      </w:r>
      <w:r w:rsidDel="00000000" w:rsidR="00000000" w:rsidRPr="00000000">
        <w:rPr>
          <w:rFonts w:ascii="Arial" w:cs="Arial" w:eastAsia="Arial" w:hAnsi="Arial"/>
          <w:sz w:val="16"/>
          <w:szCs w:val="16"/>
          <w:rtl w:val="0"/>
        </w:rPr>
        <w:t xml:space="preserve"> A autoridade competente, na aplicação das sanções, levará em consideração a gravidade da conduta do infrator, o caráter educativo da pena, bem como o dano causado à Administração, observado o princípio da proporcionalidade. </w:t>
      </w:r>
    </w:p>
    <w:p w:rsidR="00000000" w:rsidDel="00000000" w:rsidP="00000000" w:rsidRDefault="00000000" w:rsidRPr="00000000" w14:paraId="000000B2">
      <w:pPr>
        <w:ind w:left="0" w:right="60" w:firstLine="0"/>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w:t>
      </w:r>
      <w:r w:rsidDel="00000000" w:rsidR="00000000" w:rsidRPr="00000000">
        <w:rPr>
          <w:rFonts w:ascii="Arial" w:cs="Arial" w:eastAsia="Arial" w:hAnsi="Arial"/>
          <w:sz w:val="16"/>
          <w:szCs w:val="16"/>
          <w:rtl w:val="0"/>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00000" w:rsidDel="00000000" w:rsidP="00000000" w:rsidRDefault="00000000" w:rsidRPr="00000000" w14:paraId="000000B3">
      <w:pPr>
        <w:ind w:left="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a) tenham sofrido condenações definitivas por praticarem, por meio dolosos, fraude fiscal no recolhimento de tributos; </w:t>
      </w:r>
    </w:p>
    <w:p w:rsidR="00000000" w:rsidDel="00000000" w:rsidP="00000000" w:rsidRDefault="00000000" w:rsidRPr="00000000" w14:paraId="000000B4">
      <w:pPr>
        <w:ind w:left="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b) tenham praticado atos ilícitos visando a frustrar os objetivos da licitação; </w:t>
      </w:r>
    </w:p>
    <w:p w:rsidR="00000000" w:rsidDel="00000000" w:rsidP="00000000" w:rsidRDefault="00000000" w:rsidRPr="00000000" w14:paraId="000000B5">
      <w:pPr>
        <w:ind w:left="0" w:right="60" w:firstLine="0"/>
        <w:rPr>
          <w:rFonts w:ascii="Arial" w:cs="Arial" w:eastAsia="Arial" w:hAnsi="Arial"/>
          <w:sz w:val="16"/>
          <w:szCs w:val="16"/>
        </w:rPr>
      </w:pPr>
      <w:r w:rsidDel="00000000" w:rsidR="00000000" w:rsidRPr="00000000">
        <w:rPr>
          <w:rFonts w:ascii="Arial" w:cs="Arial" w:eastAsia="Arial" w:hAnsi="Arial"/>
          <w:sz w:val="16"/>
          <w:szCs w:val="16"/>
          <w:rtl w:val="0"/>
        </w:rPr>
        <w:t xml:space="preserve">c) demonstrem não possuir idoneidade para contratar com a Administração em virtude de atos ilícitos praticados. </w:t>
      </w:r>
    </w:p>
    <w:p w:rsidR="00000000" w:rsidDel="00000000" w:rsidP="00000000" w:rsidRDefault="00000000" w:rsidRPr="00000000" w14:paraId="000000B6">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 DA UTILIZAÇÃO DA ATA </w:t>
      </w:r>
      <w:r w:rsidDel="00000000" w:rsidR="00000000" w:rsidRPr="00000000">
        <w:rPr>
          <w:rtl w:val="0"/>
        </w:rPr>
      </w:r>
    </w:p>
    <w:p w:rsidR="00000000" w:rsidDel="00000000" w:rsidP="00000000" w:rsidRDefault="00000000" w:rsidRPr="00000000" w14:paraId="000000B8">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B9">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B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BE">
      <w:pPr>
        <w:spacing w:line="360" w:lineRule="auto"/>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F">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C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C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C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C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CB">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C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C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C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D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D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D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D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D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D6">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D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D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D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D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DB">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DC">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DD">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D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E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E1">
      <w:pPr>
        <w:jc w:val="both"/>
        <w:rPr>
          <w:rFonts w:ascii="Arial" w:cs="Arial" w:eastAsia="Arial" w:hAnsi="Arial"/>
          <w:b w:val="1"/>
          <w:smallCaps w:val="1"/>
          <w:color w:val="000000"/>
          <w:sz w:val="16"/>
          <w:szCs w:val="16"/>
        </w:rPr>
      </w:pPr>
      <w:r w:rsidDel="00000000" w:rsidR="00000000" w:rsidRPr="00000000">
        <w:rPr>
          <w:rFonts w:ascii="Arial" w:cs="Arial" w:eastAsia="Arial" w:hAnsi="Arial"/>
          <w:b w:val="1"/>
          <w:smallCaps w:val="1"/>
          <w:sz w:val="16"/>
          <w:szCs w:val="16"/>
          <w:rtl w:val="0"/>
        </w:rPr>
        <w:t xml:space="preserve">SEFIN - </w:t>
      </w:r>
      <w:r w:rsidDel="00000000" w:rsidR="00000000" w:rsidRPr="00000000">
        <w:rPr>
          <w:rFonts w:ascii="Arial" w:cs="Arial" w:eastAsia="Arial" w:hAnsi="Arial"/>
          <w:sz w:val="16"/>
          <w:szCs w:val="16"/>
          <w:rtl w:val="0"/>
        </w:rPr>
        <w:t xml:space="preserve">Secretaria de Estado de Finanças.</w:t>
      </w:r>
      <w:r w:rsidDel="00000000" w:rsidR="00000000" w:rsidRPr="00000000">
        <w:rPr>
          <w:rFonts w:ascii="Arial" w:cs="Arial" w:eastAsia="Arial" w:hAnsi="Arial"/>
          <w:smallCaps w:val="1"/>
          <w:color w:val="000000"/>
          <w:sz w:val="16"/>
          <w:szCs w:val="16"/>
          <w:rtl w:val="0"/>
        </w:rPr>
        <w:t xml:space="preserve">.</w:t>
      </w:r>
      <w:r w:rsidDel="00000000" w:rsidR="00000000" w:rsidRPr="00000000">
        <w:rPr>
          <w:rtl w:val="0"/>
        </w:rPr>
      </w:r>
    </w:p>
    <w:p w:rsidR="00000000" w:rsidDel="00000000" w:rsidP="00000000" w:rsidRDefault="00000000" w:rsidRPr="00000000" w14:paraId="000000E2">
      <w:pPr>
        <w:jc w:val="both"/>
        <w:rPr>
          <w:b w:val="1"/>
          <w:smallCaps w:val="1"/>
          <w:color w:val="000000"/>
        </w:rPr>
      </w:pPr>
      <w:r w:rsidDel="00000000" w:rsidR="00000000" w:rsidRPr="00000000">
        <w:rPr>
          <w:rtl w:val="0"/>
        </w:rPr>
      </w:r>
    </w:p>
    <w:p w:rsidR="00000000" w:rsidDel="00000000" w:rsidP="00000000" w:rsidRDefault="00000000" w:rsidRPr="00000000" w14:paraId="000000E3">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E4">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E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E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E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E8">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E9">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EA">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B">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EC">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ED">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EE">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EF">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F0">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F1">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F2">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F3">
      <w:pPr>
        <w:ind w:right="47"/>
        <w:jc w:val="both"/>
        <w:rPr>
          <w:rFonts w:ascii="Arial" w:cs="Arial" w:eastAsia="Arial" w:hAnsi="Arial"/>
          <w:b w:val="1"/>
          <w:color w:val="000000"/>
          <w:sz w:val="12"/>
          <w:szCs w:val="12"/>
        </w:rPr>
      </w:pPr>
      <w:r w:rsidDel="00000000" w:rsidR="00000000" w:rsidRPr="00000000">
        <w:rPr>
          <w:rtl w:val="0"/>
        </w:rPr>
      </w:r>
    </w:p>
    <w:p w:rsidR="00000000" w:rsidDel="00000000" w:rsidP="00000000" w:rsidRDefault="00000000" w:rsidRPr="00000000" w14:paraId="000000F4">
      <w:pPr>
        <w:ind w:right="47"/>
        <w:jc w:val="both"/>
        <w:rPr>
          <w:rFonts w:ascii="Arial" w:cs="Arial" w:eastAsia="Arial" w:hAnsi="Arial"/>
          <w:b w:val="1"/>
          <w:color w:val="000000"/>
          <w:sz w:val="12"/>
          <w:szCs w:val="12"/>
        </w:rPr>
      </w:pPr>
      <w:r w:rsidDel="00000000" w:rsidR="00000000" w:rsidRPr="00000000">
        <w:rPr>
          <w:rFonts w:ascii="Arial" w:cs="Arial" w:eastAsia="Arial" w:hAnsi="Arial"/>
          <w:b w:val="1"/>
          <w:sz w:val="12"/>
          <w:szCs w:val="12"/>
          <w:rtl w:val="0"/>
        </w:rPr>
        <w:t xml:space="preserve">RL</w:t>
      </w:r>
      <w:r w:rsidDel="00000000" w:rsidR="00000000" w:rsidRPr="00000000">
        <w:rPr>
          <w:rFonts w:ascii="Arial" w:cs="Arial" w:eastAsia="Arial" w:hAnsi="Arial"/>
          <w:b w:val="1"/>
          <w:color w:val="000000"/>
          <w:sz w:val="12"/>
          <w:szCs w:val="12"/>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5">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aliases w:val="Normal_IC"/>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446DEC"/>
    <w:pPr>
      <w:spacing w:after="100" w:afterAutospacing="1" w:before="100" w:beforeAutospacing="1"/>
    </w:pPr>
    <w:rPr>
      <w:sz w:val="24"/>
      <w:szCs w:val="24"/>
    </w:rPr>
  </w:style>
  <w:style w:type="paragraph" w:styleId="tabelatexto8alinhadoesquerda" w:customStyle="1">
    <w:name w:val="tabela_texto_8_alinhado_esquerda"/>
    <w:basedOn w:val="Normal"/>
    <w:rsid w:val="00202323"/>
    <w:pPr>
      <w:spacing w:after="100" w:afterAutospacing="1" w:before="100" w:beforeAutospacing="1"/>
    </w:pPr>
    <w:rPr>
      <w:sz w:val="24"/>
      <w:szCs w:val="24"/>
    </w:rPr>
  </w:style>
  <w:style w:type="paragraph" w:styleId="citacao" w:customStyle="1">
    <w:name w:val="citacao"/>
    <w:basedOn w:val="Normal"/>
    <w:rsid w:val="004635EF"/>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xkX82oIcADXZD8h0zzOabfzGrg==">AMUW2mXfW/feMJvLzgZbY6a3Jq7d5KhiFy1zohI8lsTl1Zo2CaqIv3D5rfqOGnVfiG4EIV7X2IRMiLm9eD5N7BioOySYCNNOj2glOdJLEL4zC4xkSGCwuQFzp+X3hbmWeEomNc+t+VMtDq6/LjB1AL34ppPDGcTrPg==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2020-01-27T13:51:00Z</dcterms:created>
  <dc:creator>SESAU</dc:creator>
</cp:coreProperties>
</file>