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180//2020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083/2020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w:t>
      </w:r>
      <w:r w:rsidDel="00000000" w:rsidR="00000000" w:rsidRPr="00000000">
        <w:rPr>
          <w:rFonts w:ascii="Arial" w:cs="Arial" w:eastAsia="Arial" w:hAnsi="Arial"/>
          <w:sz w:val="16"/>
          <w:szCs w:val="16"/>
          <w:rtl w:val="0"/>
        </w:rPr>
        <w:t xml:space="preserve">Nº 0029.380065/2019-28</w:t>
      </w: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w:t>
      </w:r>
      <w:r w:rsidDel="00000000" w:rsidR="00000000" w:rsidRPr="00000000">
        <w:rPr>
          <w:rFonts w:ascii="Arial" w:cs="Arial" w:eastAsia="Arial" w:hAnsi="Arial"/>
          <w:sz w:val="16"/>
          <w:szCs w:val="16"/>
          <w:rtl w:val="0"/>
        </w:rPr>
        <w:t xml:space="preserve"> para futura e eventual  </w:t>
      </w:r>
      <w:r w:rsidDel="00000000" w:rsidR="00000000" w:rsidRPr="00000000">
        <w:rPr>
          <w:rFonts w:ascii="Arial" w:cs="Arial" w:eastAsia="Arial" w:hAnsi="Arial"/>
          <w:b w:val="1"/>
          <w:i w:val="1"/>
          <w:sz w:val="16"/>
          <w:szCs w:val="16"/>
          <w:rtl w:val="0"/>
        </w:rPr>
        <w:t xml:space="preserve">aquisição de material de consumo (materiais gráficos)</w:t>
      </w:r>
      <w:r w:rsidDel="00000000" w:rsidR="00000000" w:rsidRPr="00000000">
        <w:rPr>
          <w:rFonts w:ascii="Arial" w:cs="Arial" w:eastAsia="Arial" w:hAnsi="Arial"/>
          <w:sz w:val="16"/>
          <w:szCs w:val="16"/>
          <w:rtl w:val="0"/>
        </w:rPr>
        <w:t xml:space="preserve">, para atendimento de eventos a serem promovidos pela Secretaria de Estado da Educação - SEDUC, no município de PORTO VELHO,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REGISTRO DE PREÇO para futura e eventual </w:t>
      </w:r>
      <w:r w:rsidDel="00000000" w:rsidR="00000000" w:rsidRPr="00000000">
        <w:rPr>
          <w:rFonts w:ascii="Arial" w:cs="Arial" w:eastAsia="Arial" w:hAnsi="Arial"/>
          <w:b w:val="1"/>
          <w:i w:val="1"/>
          <w:sz w:val="16"/>
          <w:szCs w:val="16"/>
          <w:rtl w:val="0"/>
        </w:rPr>
        <w:t xml:space="preserve">aquisição de material de consumo (materiais gráficos)</w:t>
      </w:r>
      <w:r w:rsidDel="00000000" w:rsidR="00000000" w:rsidRPr="00000000">
        <w:rPr>
          <w:rFonts w:ascii="Arial" w:cs="Arial" w:eastAsia="Arial" w:hAnsi="Arial"/>
          <w:sz w:val="16"/>
          <w:szCs w:val="16"/>
          <w:rtl w:val="0"/>
        </w:rPr>
        <w:t xml:space="preserve">, para atendimento de eventos a serem promovidos pela Secretaria de Estado da Educação - SEDUC, no município de PORTO VELHO.</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 </w:t>
      </w:r>
      <w:r w:rsidDel="00000000" w:rsidR="00000000" w:rsidRPr="00000000">
        <w:rPr>
          <w:rFonts w:ascii="Arial" w:cs="Arial" w:eastAsia="Arial" w:hAnsi="Arial"/>
          <w:sz w:val="16"/>
          <w:szCs w:val="16"/>
          <w:rtl w:val="0"/>
        </w:rPr>
        <w:t xml:space="preserve">: O prazo de entrega é de até 30 (trinta) dias corridos, contados a partir do primeiro dia útil após o recebimento da Nota de Empenho – NE, expedida pelo órgão solicitante</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LOCAL DE E</w:t>
      </w:r>
      <w:r w:rsidDel="00000000" w:rsidR="00000000" w:rsidRPr="00000000">
        <w:rPr>
          <w:rFonts w:ascii="Arial" w:cs="Arial" w:eastAsia="Arial" w:hAnsi="Arial"/>
          <w:b w:val="1"/>
          <w:sz w:val="16"/>
          <w:szCs w:val="16"/>
          <w:rtl w:val="0"/>
        </w:rPr>
        <w:t xml:space="preserve">NTREGA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1"/>
          <w:sz w:val="16"/>
          <w:szCs w:val="16"/>
          <w:rtl w:val="0"/>
        </w:rPr>
        <w:t xml:space="preserve">Os materiais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r w:rsidDel="00000000" w:rsidR="00000000" w:rsidRPr="00000000">
        <w:rPr>
          <w:rtl w:val="0"/>
        </w:rPr>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Além daquelas determinadas por leis, decretos, regulamentos e demais dispositivos legais, a CONTRATADA estará sujeita as sanções definidas neste Termo de Referência.</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Sem prejuízo das sanções cominadas no art. 87, I, III e IV, da Lei nº 8.666/93, pela inexecução total ou parcial do instrumento de contrato, a Contratante poderá, garantida a prévia e ampla defesa, aplicar à Contratada multa (</w:t>
      </w:r>
      <w:r w:rsidDel="00000000" w:rsidR="00000000" w:rsidRPr="00000000">
        <w:rPr>
          <w:rFonts w:ascii="Arial" w:cs="Arial" w:eastAsia="Arial" w:hAnsi="Arial"/>
          <w:b w:val="1"/>
          <w:sz w:val="16"/>
          <w:szCs w:val="16"/>
          <w:rtl w:val="0"/>
        </w:rPr>
        <w:t xml:space="preserve">Tabela – Item 9.11</w:t>
      </w:r>
      <w:r w:rsidDel="00000000" w:rsidR="00000000" w:rsidRPr="00000000">
        <w:rPr>
          <w:rFonts w:ascii="Arial" w:cs="Arial" w:eastAsia="Arial" w:hAnsi="Arial"/>
          <w:sz w:val="16"/>
          <w:szCs w:val="16"/>
          <w:rtl w:val="0"/>
        </w:rPr>
        <w:t xml:space="preserve">), sobre a parcela inadimplida do contrato.</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São exemplos de infração administrativa penalizáveis, nos termos da Lei nº 8.666, de 1993, da Lei nº 10.520, de 2002, dos Decretos Estaduais nº 12.205/06 e 12.234/06 (Pregão Eletrônico e Presencial):</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w:t>
      </w: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 </w:t>
      </w:r>
      <w:r w:rsidDel="00000000" w:rsidR="00000000" w:rsidRPr="00000000">
        <w:rPr>
          <w:rFonts w:ascii="Arial" w:cs="Arial" w:eastAsia="Arial" w:hAnsi="Arial"/>
          <w:sz w:val="16"/>
          <w:szCs w:val="16"/>
          <w:rtl w:val="0"/>
        </w:rPr>
        <w:t xml:space="preserve">Apresentação de documentação falsa;</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w:t>
      </w: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 </w:t>
      </w: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e) </w:t>
      </w: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w:t>
      </w:r>
      <w:r w:rsidDel="00000000" w:rsidR="00000000" w:rsidRPr="00000000">
        <w:rPr>
          <w:rFonts w:ascii="Arial" w:cs="Arial" w:eastAsia="Arial" w:hAnsi="Arial"/>
          <w:sz w:val="16"/>
          <w:szCs w:val="16"/>
          <w:rtl w:val="0"/>
        </w:rPr>
        <w:t xml:space="preserve">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69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70"/>
        <w:gridCol w:w="6575"/>
        <w:gridCol w:w="800"/>
        <w:gridCol w:w="1550"/>
        <w:tblGridChange w:id="0">
          <w:tblGrid>
            <w:gridCol w:w="770"/>
            <w:gridCol w:w="6575"/>
            <w:gridCol w:w="800"/>
            <w:gridCol w:w="1550"/>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Executar a entrega incompleta,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as determinações feitas pela FISCALIZAÇÃO, sem motivo justificado;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fornecimentos dos bens adquiridos, por dia e por unidade de atendimento;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danos físico,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do contrato;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10 %</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nos prazos estabelecidos, observados os limites mínimos estabelecidos por este Contrato;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Termo de Referência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bl>
    <w:p w:rsidR="00000000" w:rsidDel="00000000" w:rsidP="00000000" w:rsidRDefault="00000000" w:rsidRPr="00000000" w14:paraId="00000077">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Incide sobre a parte inadimplida.</w:t>
      </w:r>
    </w:p>
    <w:p w:rsidR="00000000" w:rsidDel="00000000" w:rsidP="00000000" w:rsidRDefault="00000000" w:rsidRPr="00000000" w14:paraId="0000007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Após 30 (trinta) dias da falta de execução do objeto, será considerada inexecução total do contrato, o que ensejará a rescisão contratual.</w:t>
      </w:r>
    </w:p>
    <w:p w:rsidR="00000000" w:rsidDel="00000000" w:rsidP="00000000" w:rsidRDefault="00000000" w:rsidRPr="00000000" w14:paraId="0000007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w:t>
      </w:r>
      <w:r w:rsidDel="00000000" w:rsidR="00000000" w:rsidRPr="00000000">
        <w:rPr>
          <w:rFonts w:ascii="Arial" w:cs="Arial" w:eastAsia="Arial" w:hAnsi="Arial"/>
          <w:sz w:val="16"/>
          <w:szCs w:val="16"/>
          <w:rtl w:val="0"/>
        </w:rPr>
        <w:t xml:space="preserve">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A sanção será obrigatoriamente registrada no Sistema de Cadastramento Unificado de Fornecedores - SICAF, bem como em sistemas Estaduais.</w:t>
      </w:r>
    </w:p>
    <w:p w:rsidR="00000000" w:rsidDel="00000000" w:rsidP="00000000" w:rsidRDefault="00000000" w:rsidRPr="00000000" w14:paraId="0000007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 </w:t>
      </w:r>
      <w:r w:rsidDel="00000000" w:rsidR="00000000" w:rsidRPr="00000000">
        <w:rPr>
          <w:rFonts w:ascii="Arial" w:cs="Arial" w:eastAsia="Arial" w:hAnsi="Arial"/>
          <w:sz w:val="16"/>
          <w:szCs w:val="16"/>
          <w:rtl w:val="0"/>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w:t>
      </w: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8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 </w:t>
      </w:r>
      <w:r w:rsidDel="00000000" w:rsidR="00000000" w:rsidRPr="00000000">
        <w:rPr>
          <w:rFonts w:ascii="Arial" w:cs="Arial" w:eastAsia="Arial" w:hAnsi="Arial"/>
          <w:sz w:val="16"/>
          <w:szCs w:val="16"/>
          <w:rtl w:val="0"/>
        </w:rPr>
        <w:t xml:space="preserve">Tenham praticado atos ilícitos visando a frustrar os objetivos da licitação;</w:t>
      </w:r>
    </w:p>
    <w:p w:rsidR="00000000" w:rsidDel="00000000" w:rsidP="00000000" w:rsidRDefault="00000000" w:rsidRPr="00000000" w14:paraId="0000008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w:t>
      </w:r>
      <w:r w:rsidDel="00000000" w:rsidR="00000000" w:rsidRPr="00000000">
        <w:rPr>
          <w:rFonts w:ascii="Arial" w:cs="Arial" w:eastAsia="Arial" w:hAnsi="Arial"/>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8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9.19. </w:t>
      </w:r>
      <w:r w:rsidDel="00000000" w:rsidR="00000000" w:rsidRPr="00000000">
        <w:rPr>
          <w:rFonts w:ascii="Arial" w:cs="Arial" w:eastAsia="Arial" w:hAnsi="Arial"/>
          <w:sz w:val="16"/>
          <w:szCs w:val="16"/>
          <w:rtl w:val="0"/>
        </w:rPr>
        <w:t xml:space="preserve">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00000" w:rsidDel="00000000" w:rsidP="00000000" w:rsidRDefault="00000000" w:rsidRPr="00000000" w14:paraId="0000008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9.20. </w:t>
      </w:r>
      <w:r w:rsidDel="00000000" w:rsidR="00000000" w:rsidRPr="00000000">
        <w:rPr>
          <w:rFonts w:ascii="Arial" w:cs="Arial" w:eastAsia="Arial" w:hAnsi="Arial"/>
          <w:sz w:val="16"/>
          <w:szCs w:val="16"/>
          <w:rtl w:val="0"/>
        </w:rPr>
        <w:t xml:space="preserve">Na hipótese de apresentar documentação inverossímil ou de cometer fraude, o licitante poderá sofrer sem prejuízo da comunicação do ocorrido ao Ministério Público, quaisquer das sanções previstas, que poderão ser aplicadas cumulativamente.</w:t>
      </w:r>
    </w:p>
    <w:p w:rsidR="00000000" w:rsidDel="00000000" w:rsidP="00000000" w:rsidRDefault="00000000" w:rsidRPr="00000000" w14:paraId="0000008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9.21. </w:t>
      </w:r>
      <w:r w:rsidDel="00000000" w:rsidR="00000000" w:rsidRPr="00000000">
        <w:rPr>
          <w:rFonts w:ascii="Arial" w:cs="Arial" w:eastAsia="Arial" w:hAnsi="Arial"/>
          <w:sz w:val="16"/>
          <w:szCs w:val="16"/>
          <w:rtl w:val="0"/>
        </w:rPr>
        <w:t xml:space="preserve">Nenhuma sanção será aplicada sem o devido processo administrativo, que prevê defesa prévia do interessado e recurso nos prazos definidos em Lei, sendo-lhe franqueada vista ao processo.</w:t>
      </w:r>
    </w:p>
    <w:p w:rsidR="00000000" w:rsidDel="00000000" w:rsidP="00000000" w:rsidRDefault="00000000" w:rsidRPr="00000000" w14:paraId="0000008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9.22. Tratando-se de sanção do art. 7° da Lei do Pregão, os seus efeitos recaem apenas na esfera administrativa do órgão que a aplicou".</w:t>
      </w:r>
    </w:p>
    <w:p w:rsidR="00000000" w:rsidDel="00000000" w:rsidP="00000000" w:rsidRDefault="00000000" w:rsidRPr="00000000" w14:paraId="00000086">
      <w:pPr>
        <w:ind w:right="47"/>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7">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8">
      <w:pPr>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10. DA UTILIZAÇÃO DA ATA </w:t>
      </w:r>
      <w:r w:rsidDel="00000000" w:rsidR="00000000" w:rsidRPr="00000000">
        <w:rPr>
          <w:rtl w:val="0"/>
        </w:rPr>
      </w:r>
    </w:p>
    <w:p w:rsidR="00000000" w:rsidDel="00000000" w:rsidP="00000000" w:rsidRDefault="00000000" w:rsidRPr="00000000" w14:paraId="00000089">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A">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F">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0">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A">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0">
      <w:pPr>
        <w:ind w:right="60"/>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SEDUC</w:t>
      </w:r>
      <w:r w:rsidDel="00000000" w:rsidR="00000000" w:rsidRPr="00000000">
        <w:rPr>
          <w:rFonts w:ascii="Arial" w:cs="Arial" w:eastAsia="Arial" w:hAnsi="Arial"/>
          <w:sz w:val="16"/>
          <w:szCs w:val="16"/>
          <w:rtl w:val="0"/>
        </w:rPr>
        <w:t xml:space="preserve"> – Secretaria de Estado da Educação.</w:t>
      </w:r>
      <w:r w:rsidDel="00000000" w:rsidR="00000000" w:rsidRPr="00000000">
        <w:rPr>
          <w:rtl w:val="0"/>
        </w:rPr>
      </w:r>
    </w:p>
    <w:p w:rsidR="00000000" w:rsidDel="00000000" w:rsidP="00000000" w:rsidRDefault="00000000" w:rsidRPr="00000000" w14:paraId="000000B1">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B2">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7">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8">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B">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C">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BD">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E">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F">
      <w:pPr>
        <w:ind w:right="47"/>
        <w:jc w:val="both"/>
        <w:rPr>
          <w:rFonts w:ascii="Arial" w:cs="Arial" w:eastAsia="Arial" w:hAnsi="Arial"/>
          <w:b w:val="1"/>
          <w:color w:val="000000"/>
          <w:sz w:val="16"/>
          <w:szCs w:val="16"/>
        </w:rPr>
      </w:pPr>
      <w:bookmarkStart w:colFirst="0" w:colLast="0" w:name="_heading=h.2et92p0" w:id="1"/>
      <w:bookmarkEnd w:id="1"/>
      <w:r w:rsidDel="00000000" w:rsidR="00000000" w:rsidRPr="00000000">
        <w:rPr>
          <w:rtl w:val="0"/>
        </w:rPr>
      </w:r>
    </w:p>
    <w:p w:rsidR="00000000" w:rsidDel="00000000" w:rsidP="00000000" w:rsidRDefault="00000000" w:rsidRPr="00000000" w14:paraId="000000C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2">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C3">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SyPFcR/HtqPQovdGJxV9mwbAjA==">AMUW2mUw86rAlqJ6ck+vqBh9+wrBfXwEqg0/+gfcCMxARc7NXd5UxoB4Vad7b74hfuflMB/TJnVUFqeaXGx0CAnj56g97qlg36L9GSFGrCt29AZladH8qW8H7HYgF9nyWHd0K+/Y4D44zISFSdrcQAPI36fYDj3DVw==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2019-12-20T17:08:00Z</dcterms:created>
  <dc:creator>SESAU</dc:creator>
</cp:coreProperties>
</file>