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175/2020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320/2020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0036.157326/2019-19</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Serviço de Conserto Cadeiras e Longarinas e Contratação de empresa especializada em serviços de reforma e tapeçaria de poltronas reclináveis, visando atender as necessidades do Hospital Infantil Cosme e Damião, Hospital Regional de São Francisco do Guaporé, Centro de Medicina Tropical do Estado de Rondônia e Policlínica Oswaldo Cruz, a pedido da Secretaria de Estado da Saúde de Rondônia - SESAU</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Serviço de Conserto Cadeiras e Longarinas e Contratação de empresa especializada em serviços de reforma e tapeçaria de poltronas reclináveis, visando atender as necessidades do Hospital Infantil Cosme e Damião, Hospital Regional de São Francisco do Guaporé, Centro de Medicina Tropical do Estado de Rondônia e Policlínica Oswaldo Cruz, a pedido da Secretaria de Estado da Saúde de Rondônia - SESAU.</w:t>
      </w: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 prazo para entrega será de até 30 (trinta) dias corridos, após emissão da Nota de Empenho.</w:t>
      </w:r>
    </w:p>
    <w:p w:rsidR="00000000" w:rsidDel="00000000" w:rsidP="00000000" w:rsidRDefault="00000000" w:rsidRPr="00000000" w14:paraId="00000024">
      <w:pPr>
        <w:spacing w:after="0" w:before="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6.3.1.</w:t>
      </w:r>
      <w:r w:rsidDel="00000000" w:rsidR="00000000" w:rsidRPr="00000000">
        <w:rPr>
          <w:rFonts w:ascii="Arial" w:cs="Arial" w:eastAsia="Arial" w:hAnsi="Arial"/>
          <w:sz w:val="16"/>
          <w:szCs w:val="16"/>
          <w:rtl w:val="0"/>
        </w:rPr>
        <w:t xml:space="preserve"> O prazo de duração da execução dos serviços será de no máximo 45 (quarenta e cinco) dias, após o início dos serviços.</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 </w:t>
      </w:r>
      <w:r w:rsidDel="00000000" w:rsidR="00000000" w:rsidRPr="00000000">
        <w:rPr>
          <w:rFonts w:ascii="Arial" w:cs="Arial" w:eastAsia="Arial" w:hAnsi="Arial"/>
          <w:sz w:val="16"/>
          <w:szCs w:val="16"/>
          <w:rtl w:val="0"/>
        </w:rPr>
        <w:t xml:space="preserve">Os serviços deverão ser executados nas seguintes unidades:</w:t>
      </w:r>
      <w:r w:rsidDel="00000000" w:rsidR="00000000" w:rsidRPr="00000000">
        <w:rPr>
          <w:rtl w:val="0"/>
        </w:rPr>
      </w:r>
    </w:p>
    <w:tbl>
      <w:tblPr>
        <w:tblStyle w:val="Table1"/>
        <w:tblW w:w="94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3035"/>
        <w:gridCol w:w="4685"/>
        <w:gridCol w:w="1730"/>
        <w:tblGridChange w:id="0">
          <w:tblGrid>
            <w:gridCol w:w="3035"/>
            <w:gridCol w:w="4685"/>
            <w:gridCol w:w="1730"/>
          </w:tblGrid>
        </w:tblGridChange>
      </w:tblGrid>
      <w:tr>
        <w:trPr>
          <w:trHeight w:val="420" w:hRule="atLeast"/>
        </w:trPr>
        <w:tc>
          <w:tcPr>
            <w:tcMar>
              <w:top w:w="100.0" w:type="dxa"/>
              <w:left w:w="100.0" w:type="dxa"/>
              <w:bottom w:w="100.0" w:type="dxa"/>
              <w:right w:w="100.0" w:type="dxa"/>
            </w:tcMar>
            <w:vAlign w:val="top"/>
          </w:tcPr>
          <w:p w:rsidR="00000000" w:rsidDel="00000000" w:rsidP="00000000" w:rsidRDefault="00000000" w:rsidRPr="00000000" w14:paraId="00000026">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UNIDADE</w:t>
            </w:r>
          </w:p>
        </w:tc>
        <w:tc>
          <w:tcPr>
            <w:tcMar>
              <w:top w:w="100.0" w:type="dxa"/>
              <w:left w:w="100.0" w:type="dxa"/>
              <w:bottom w:w="100.0" w:type="dxa"/>
              <w:right w:w="100.0" w:type="dxa"/>
            </w:tcMar>
            <w:vAlign w:val="top"/>
          </w:tcPr>
          <w:p w:rsidR="00000000" w:rsidDel="00000000" w:rsidP="00000000" w:rsidRDefault="00000000" w:rsidRPr="00000000" w14:paraId="00000027">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ENDEREÇO</w:t>
            </w:r>
          </w:p>
        </w:tc>
        <w:tc>
          <w:tcPr>
            <w:tcMar>
              <w:top w:w="100.0" w:type="dxa"/>
              <w:left w:w="100.0" w:type="dxa"/>
              <w:bottom w:w="100.0" w:type="dxa"/>
              <w:right w:w="100.0" w:type="dxa"/>
            </w:tcMar>
            <w:vAlign w:val="top"/>
          </w:tcPr>
          <w:p w:rsidR="00000000" w:rsidDel="00000000" w:rsidP="00000000" w:rsidRDefault="00000000" w:rsidRPr="00000000" w14:paraId="00000028">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TELEFONE</w:t>
            </w:r>
          </w:p>
        </w:tc>
      </w:tr>
      <w:tr>
        <w:trPr>
          <w:trHeight w:val="525" w:hRule="atLeast"/>
        </w:trPr>
        <w:tc>
          <w:tcPr>
            <w:tcMar>
              <w:top w:w="100.0" w:type="dxa"/>
              <w:left w:w="100.0" w:type="dxa"/>
              <w:bottom w:w="100.0" w:type="dxa"/>
              <w:right w:w="100.0" w:type="dxa"/>
            </w:tcMar>
            <w:vAlign w:val="top"/>
          </w:tcPr>
          <w:p w:rsidR="00000000" w:rsidDel="00000000" w:rsidP="00000000" w:rsidRDefault="00000000" w:rsidRPr="00000000" w14:paraId="00000029">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Centro de Medicina Tropical de Rondônia (CEMETRON)</w:t>
            </w:r>
          </w:p>
        </w:tc>
        <w:tc>
          <w:tcPr>
            <w:tcMar>
              <w:top w:w="100.0" w:type="dxa"/>
              <w:left w:w="100.0" w:type="dxa"/>
              <w:bottom w:w="100.0" w:type="dxa"/>
              <w:right w:w="100.0" w:type="dxa"/>
            </w:tcMar>
            <w:vAlign w:val="top"/>
          </w:tcPr>
          <w:p w:rsidR="00000000" w:rsidDel="00000000" w:rsidP="00000000" w:rsidRDefault="00000000" w:rsidRPr="00000000" w14:paraId="0000002A">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Guaporé, 415 - Bairro Lagoa - CEP: 76.812-329 - Porto Velho/RO.</w:t>
            </w:r>
          </w:p>
        </w:tc>
        <w:tc>
          <w:tcPr>
            <w:tcMar>
              <w:top w:w="100.0" w:type="dxa"/>
              <w:left w:w="100.0" w:type="dxa"/>
              <w:bottom w:w="100.0" w:type="dxa"/>
              <w:right w:w="100.0" w:type="dxa"/>
            </w:tcMar>
            <w:vAlign w:val="top"/>
          </w:tcPr>
          <w:p w:rsidR="00000000" w:rsidDel="00000000" w:rsidP="00000000" w:rsidRDefault="00000000" w:rsidRPr="00000000" w14:paraId="0000002B">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(69) 3216-8550 / 3216-5410.</w:t>
            </w:r>
          </w:p>
        </w:tc>
      </w:tr>
      <w:tr>
        <w:trPr>
          <w:trHeight w:val="495" w:hRule="atLeast"/>
        </w:trPr>
        <w:tc>
          <w:tcPr>
            <w:tcMar>
              <w:top w:w="100.0" w:type="dxa"/>
              <w:left w:w="100.0" w:type="dxa"/>
              <w:bottom w:w="100.0" w:type="dxa"/>
              <w:right w:w="100.0" w:type="dxa"/>
            </w:tcMar>
            <w:vAlign w:val="top"/>
          </w:tcPr>
          <w:p w:rsidR="00000000" w:rsidDel="00000000" w:rsidP="00000000" w:rsidRDefault="00000000" w:rsidRPr="00000000" w14:paraId="0000002C">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Policlínica Oswaldo Cruz (POC)</w:t>
            </w:r>
          </w:p>
        </w:tc>
        <w:tc>
          <w:tcPr>
            <w:tcMar>
              <w:top w:w="100.0" w:type="dxa"/>
              <w:left w:w="100.0" w:type="dxa"/>
              <w:bottom w:w="100.0" w:type="dxa"/>
              <w:right w:w="100.0" w:type="dxa"/>
            </w:tcMar>
            <w:vAlign w:val="top"/>
          </w:tcPr>
          <w:p w:rsidR="00000000" w:rsidDel="00000000" w:rsidP="00000000" w:rsidRDefault="00000000" w:rsidRPr="00000000" w14:paraId="0000002D">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Governador Jorge Teixeira, 3862 - Bairro Industrial - CEP: 76.821-092 - Porto Velho/RO.</w:t>
            </w:r>
          </w:p>
        </w:tc>
        <w:tc>
          <w:tcPr>
            <w:tcMar>
              <w:top w:w="100.0" w:type="dxa"/>
              <w:left w:w="100.0" w:type="dxa"/>
              <w:bottom w:w="100.0" w:type="dxa"/>
              <w:right w:w="100.0" w:type="dxa"/>
            </w:tcMar>
            <w:vAlign w:val="top"/>
          </w:tcPr>
          <w:p w:rsidR="00000000" w:rsidDel="00000000" w:rsidP="00000000" w:rsidRDefault="00000000" w:rsidRPr="00000000" w14:paraId="0000002E">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(69) 3216-7968 / 3216-7967.</w:t>
            </w:r>
          </w:p>
        </w:tc>
      </w:tr>
      <w:tr>
        <w:trPr>
          <w:trHeight w:val="630" w:hRule="atLeast"/>
        </w:trPr>
        <w:tc>
          <w:tcPr>
            <w:tcMar>
              <w:top w:w="100.0" w:type="dxa"/>
              <w:left w:w="100.0" w:type="dxa"/>
              <w:bottom w:w="100.0" w:type="dxa"/>
              <w:right w:w="100.0" w:type="dxa"/>
            </w:tcMar>
            <w:vAlign w:val="top"/>
          </w:tcPr>
          <w:p w:rsidR="00000000" w:rsidDel="00000000" w:rsidP="00000000" w:rsidRDefault="00000000" w:rsidRPr="00000000" w14:paraId="0000002F">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Hospital Infantil Cosme e Damião (HICD)</w:t>
            </w:r>
          </w:p>
        </w:tc>
        <w:tc>
          <w:tcPr>
            <w:tcMar>
              <w:top w:w="100.0" w:type="dxa"/>
              <w:left w:w="100.0" w:type="dxa"/>
              <w:bottom w:w="100.0" w:type="dxa"/>
              <w:right w:w="100.0" w:type="dxa"/>
            </w:tcMar>
            <w:vAlign w:val="top"/>
          </w:tcPr>
          <w:p w:rsidR="00000000" w:rsidDel="00000000" w:rsidP="00000000" w:rsidRDefault="00000000" w:rsidRPr="00000000" w14:paraId="00000030">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Rua Benedito de Souza Brito, 4045 - Setor Industrial - CEP: 76.821-080 - Porto Velho/RO.</w:t>
            </w:r>
          </w:p>
        </w:tc>
        <w:tc>
          <w:tcPr>
            <w:tcMar>
              <w:top w:w="100.0" w:type="dxa"/>
              <w:left w:w="100.0" w:type="dxa"/>
              <w:bottom w:w="100.0" w:type="dxa"/>
              <w:right w:w="100.0" w:type="dxa"/>
            </w:tcMar>
            <w:vAlign w:val="top"/>
          </w:tcPr>
          <w:p w:rsidR="00000000" w:rsidDel="00000000" w:rsidP="00000000" w:rsidRDefault="00000000" w:rsidRPr="00000000" w14:paraId="00000031">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(69) 3216-5700 / 3216-5746.</w:t>
            </w:r>
          </w:p>
        </w:tc>
      </w:tr>
      <w:tr>
        <w:trPr>
          <w:trHeight w:val="615" w:hRule="atLeast"/>
        </w:trPr>
        <w:tc>
          <w:tcPr>
            <w:tcMar>
              <w:top w:w="100.0" w:type="dxa"/>
              <w:left w:w="100.0" w:type="dxa"/>
              <w:bottom w:w="100.0" w:type="dxa"/>
              <w:right w:w="100.0" w:type="dxa"/>
            </w:tcMar>
            <w:vAlign w:val="top"/>
          </w:tcPr>
          <w:p w:rsidR="00000000" w:rsidDel="00000000" w:rsidP="00000000" w:rsidRDefault="00000000" w:rsidRPr="00000000" w14:paraId="00000032">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Hospital Regional de São Francisco do Guaporé (HRSFG)</w:t>
            </w:r>
          </w:p>
        </w:tc>
        <w:tc>
          <w:tcPr>
            <w:tcMar>
              <w:top w:w="100.0" w:type="dxa"/>
              <w:left w:w="100.0" w:type="dxa"/>
              <w:bottom w:w="100.0" w:type="dxa"/>
              <w:right w:w="100.0" w:type="dxa"/>
            </w:tcMar>
            <w:vAlign w:val="top"/>
          </w:tcPr>
          <w:p w:rsidR="00000000" w:rsidDel="00000000" w:rsidP="00000000" w:rsidRDefault="00000000" w:rsidRPr="00000000" w14:paraId="00000033">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Brasil, s/nº, Cidade Alta – CEP: 76.935-000 – São Francisco do Guaporé/RO.</w:t>
            </w:r>
          </w:p>
        </w:tc>
        <w:tc>
          <w:tcPr>
            <w:tcMar>
              <w:top w:w="100.0" w:type="dxa"/>
              <w:left w:w="100.0" w:type="dxa"/>
              <w:bottom w:w="100.0" w:type="dxa"/>
              <w:right w:w="100.0" w:type="dxa"/>
            </w:tcMar>
            <w:vAlign w:val="top"/>
          </w:tcPr>
          <w:p w:rsidR="00000000" w:rsidDel="00000000" w:rsidP="00000000" w:rsidRDefault="00000000" w:rsidRPr="00000000" w14:paraId="00000034">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(69) 3621-2059 / 3621-2712.</w:t>
            </w:r>
          </w:p>
        </w:tc>
      </w:tr>
    </w:tbl>
    <w:p w:rsidR="00000000" w:rsidDel="00000000" w:rsidP="00000000" w:rsidRDefault="00000000" w:rsidRPr="00000000" w14:paraId="00000035">
      <w:pPr>
        <w:spacing w:after="0" w:before="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3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3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3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4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4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4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rsidR="00000000" w:rsidDel="00000000" w:rsidP="00000000" w:rsidRDefault="00000000" w:rsidRPr="00000000" w14:paraId="0000004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4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4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4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9.8.1. </w:t>
      </w: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4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9.8.2. </w:t>
      </w: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4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9.8.3. </w:t>
      </w: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4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9.8.4. </w:t>
      </w: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4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9.8.5. </w:t>
      </w: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4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5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2"/>
        <w:tblW w:w="96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35"/>
        <w:gridCol w:w="6540"/>
        <w:gridCol w:w="1070"/>
        <w:gridCol w:w="1295"/>
        <w:tblGridChange w:id="0">
          <w:tblGrid>
            <w:gridCol w:w="735"/>
            <w:gridCol w:w="6540"/>
            <w:gridCol w:w="1070"/>
            <w:gridCol w:w="1295"/>
          </w:tblGrid>
        </w:tblGridChange>
      </w:tblGrid>
      <w:tr>
        <w:trPr>
          <w:trHeight w:val="420"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510"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95"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510" w:hRule="atLeast"/>
        </w:trPr>
        <w:tc>
          <w:tcPr>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por ocorrência.</w:t>
            </w:r>
          </w:p>
        </w:tc>
        <w:tc>
          <w:tcPr>
            <w:tcMar>
              <w:top w:w="100.0" w:type="dxa"/>
              <w:left w:w="100.0" w:type="dxa"/>
              <w:bottom w:w="100.0" w:type="dxa"/>
              <w:right w:w="100.0" w:type="dxa"/>
            </w:tcMar>
            <w:vAlign w:val="top"/>
          </w:tcPr>
          <w:p w:rsidR="00000000" w:rsidDel="00000000" w:rsidP="00000000" w:rsidRDefault="00000000" w:rsidRPr="00000000" w14:paraId="0000005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360" w:hRule="atLeast"/>
        </w:trPr>
        <w:tc>
          <w:tcPr>
            <w:gridSpan w:val="4"/>
            <w:tcMar>
              <w:top w:w="100.0" w:type="dxa"/>
              <w:left w:w="100.0" w:type="dxa"/>
              <w:bottom w:w="100.0" w:type="dxa"/>
              <w:right w:w="100.0" w:type="dxa"/>
            </w:tcMar>
            <w:vAlign w:val="top"/>
          </w:tcPr>
          <w:p w:rsidR="00000000" w:rsidDel="00000000" w:rsidP="00000000" w:rsidRDefault="00000000" w:rsidRPr="00000000" w14:paraId="00000061">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8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6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5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observados os limites mínimos estabelecidos por este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às necessidades do Órgão, por funcionário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9">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 Incidente sobre o valor da parcela inadimplida do contrato.</w:t>
      </w:r>
    </w:p>
    <w:p w:rsidR="00000000" w:rsidDel="00000000" w:rsidP="00000000" w:rsidRDefault="00000000" w:rsidRPr="00000000" w14:paraId="0000007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w:t>
      </w:r>
    </w:p>
    <w:p w:rsidR="00000000" w:rsidDel="00000000" w:rsidP="00000000" w:rsidRDefault="00000000" w:rsidRPr="00000000" w14:paraId="0000007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8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8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8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7">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8">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E">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sz w:val="16"/>
          <w:szCs w:val="16"/>
          <w:rtl w:val="0"/>
        </w:rPr>
        <w:t xml:space="preserve">Secretaria de Estado da Saúde de Rondônia</w:t>
      </w:r>
      <w:r w:rsidDel="00000000" w:rsidR="00000000" w:rsidRPr="00000000">
        <w:rPr>
          <w:rFonts w:ascii="Arial" w:cs="Arial" w:eastAsia="Arial" w:hAnsi="Arial"/>
          <w:color w:val="000000"/>
          <w:sz w:val="16"/>
          <w:szCs w:val="16"/>
          <w:rtl w:val="0"/>
        </w:rPr>
        <w:t xml:space="preserve">.</w:t>
      </w:r>
      <w:r w:rsidDel="00000000" w:rsidR="00000000" w:rsidRPr="00000000">
        <w:rPr>
          <w:rtl w:val="0"/>
        </w:rPr>
      </w:r>
    </w:p>
    <w:p w:rsidR="00000000" w:rsidDel="00000000" w:rsidP="00000000" w:rsidRDefault="00000000" w:rsidRPr="00000000" w14:paraId="000000AF">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B0">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B">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D">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E">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2">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DGFJcnAtAGqbEbkZeW5GErGyDQ==">AMUW2mV1oRFC9q3zSdtQuWwnLLyLvTEmB5NvDyr+HeajqrOv1ASOC8ed89heLI9enVUptWKT9/Q61VUDbuw7paT9XIcknsrCDP5t+gb9I1GBZ4ypqIzcMLxe5HFyUoLH3AAQoXc66XWmbdrLkp/tAkaM3dbiDcyL+g==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2019-08-13T11:51:00Z</dcterms:created>
  <dc:creator>SESAU</dc:creator>
</cp:coreProperties>
</file>