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2A19F5" w:rsidRDefault="00067B8E" w:rsidP="009D2314">
      <w:pPr>
        <w:jc w:val="both"/>
        <w:rPr>
          <w:rFonts w:ascii="Arial" w:hAnsi="Arial" w:cs="Arial"/>
          <w:b/>
          <w:bCs/>
          <w:sz w:val="16"/>
          <w:szCs w:val="16"/>
        </w:rPr>
      </w:pP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ATA DE REGISTRO DE PREÇOS N° 172/2020</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PREGÃO ELETRÔNICO Nº 260/2019</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PROCESSO Nº 0042.109605/2020-21</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material de consumo (barbante, bateria, pilha e outros), a pedido da Superintendência de Gestão dos Gastos Públicos Administrativos - SUGESP,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 DO OBJETO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REGISTRO DE PREÇO para futura e eventual aquisição de material de consumo (barbante, bateria, pilha e outros</w:t>
      </w:r>
      <w:proofErr w:type="gramStart"/>
      <w:r w:rsidRPr="004C7346">
        <w:rPr>
          <w:rFonts w:ascii="Arial" w:hAnsi="Arial" w:cs="Arial"/>
          <w:b/>
          <w:bCs/>
          <w:color w:val="000000"/>
          <w:sz w:val="16"/>
          <w:szCs w:val="16"/>
        </w:rPr>
        <w:t>),  a</w:t>
      </w:r>
      <w:proofErr w:type="gramEnd"/>
      <w:r w:rsidRPr="004C7346">
        <w:rPr>
          <w:rFonts w:ascii="Arial" w:hAnsi="Arial" w:cs="Arial"/>
          <w:b/>
          <w:bCs/>
          <w:color w:val="000000"/>
          <w:sz w:val="16"/>
          <w:szCs w:val="16"/>
        </w:rPr>
        <w:t xml:space="preserve"> pedido da Superintendência de Gestão dos Gastos Públicos Administrativos - SUGESP.</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2. DA VIGÊNCIA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2.1. O presente Registro de Preços terá validade de 12 (doze) meses, contados a partir de sua publicação no Diário Oficial do Estado.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2.1.1. A vigência dos contratos decorrentes do Sistema de Registro de Preços será definida nos instrumentos convocatórios, observado o artigo 57 da Lei 8.666, de 1993, conforme Decreto Estadual nº 18.340/13.</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3. DA GERÊNCIA DA PRESENTE ATA DE REGISTRO DE PREÇOS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4. DA ESPECIFICAÇÃO, QUANTIDADE E PREÇO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4.1. O preço, a quantidade, o fornecedor e a especificação do item registrado nesta Ata, encontram-se indicados no Anexo I deste instrumento.</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5. PRAZOS E CONDIÇÕES DE FORNECIMENTO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A DETENTORA do registro de preços se obriga, nos termos do Edital e deste instrumento, 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5.1. Retirar a Nota de Empenho junto ao órgão solicitante no prazo de até 05 (cinco) dias, contados da convocação;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5.2. Iniciar o fornecimento do objeto dessa Ata, conforme prazo estabelecido no Termo de Referência e edital de licitações.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5.3. Não será admitida a entrega pela detentora do registro, de qualquer item, sem que esta esteja de posse da respectiva nota de empenho, liberação de fornecimento, ou documento equivalente.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5.4. O objeto e/ou serviço desta ata deverá ser fornecido parcialmente durante a vigência da ata ou contrato, de acordo com as necessidades dos órgãos requerentes, nas quantidades solicitadas pelos mesmos.</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6. DO PRAZO E LOCAL DE ENTREGA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6.1. No recebimento e aceitação de qualquer item, objeto desta Ata de Registro de Preços, serão observadas as especificações contidas no instrumento convocatório.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6.2. Expedida a Nota de Empenho, o recebimento de seu objeto ficará condicionado a observância das normas contidas no art. 40, inciso XVI, c/c o art. 73 inciso II, “a” e “b”, da Lei 8.666/93 e alterações.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xml:space="preserve">6.3. DO PRAZO DE ENTREGA: O prazo de entrega dos materiais deverá ser de até 20 (dez) dias, a contar da data da Assinatura/Retirada do Instrumento Contratual, em conformidade com o quantitativo indicado na Ordem de </w:t>
      </w:r>
      <w:proofErr w:type="gramStart"/>
      <w:r w:rsidRPr="004C7346">
        <w:rPr>
          <w:rFonts w:ascii="Arial" w:hAnsi="Arial" w:cs="Arial"/>
          <w:b/>
          <w:bCs/>
          <w:color w:val="000000"/>
          <w:sz w:val="16"/>
          <w:szCs w:val="16"/>
        </w:rPr>
        <w:t>Fornecimento;.</w:t>
      </w:r>
      <w:proofErr w:type="gramEnd"/>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xml:space="preserve">6.4. LOCAL/HORÁRIO DA ENTREGA:O material poderá ser entregue de forma parcial, em razão da insuficiência de espaço para o estoque de todo o material. Assim as entregas serão conforme requisições emitidas de segunda à sexta-feira, das 07:30 às 13:30hs, Av. </w:t>
      </w:r>
      <w:proofErr w:type="spellStart"/>
      <w:r w:rsidRPr="004C7346">
        <w:rPr>
          <w:rFonts w:ascii="Arial" w:hAnsi="Arial" w:cs="Arial"/>
          <w:b/>
          <w:bCs/>
          <w:color w:val="000000"/>
          <w:sz w:val="16"/>
          <w:szCs w:val="16"/>
        </w:rPr>
        <w:t>Farquar</w:t>
      </w:r>
      <w:proofErr w:type="spellEnd"/>
      <w:r w:rsidRPr="004C7346">
        <w:rPr>
          <w:rFonts w:ascii="Arial" w:hAnsi="Arial" w:cs="Arial"/>
          <w:b/>
          <w:bCs/>
          <w:color w:val="000000"/>
          <w:sz w:val="16"/>
          <w:szCs w:val="16"/>
        </w:rPr>
        <w:t xml:space="preserve">, n°2986. Bairro: Pedrinhas. CEP: 76.903-036 - Porto Velho/RO. Palácio Rio Madeira - Ed. </w:t>
      </w:r>
      <w:proofErr w:type="spellStart"/>
      <w:r w:rsidRPr="004C7346">
        <w:rPr>
          <w:rFonts w:ascii="Arial" w:hAnsi="Arial" w:cs="Arial"/>
          <w:b/>
          <w:bCs/>
          <w:color w:val="000000"/>
          <w:sz w:val="16"/>
          <w:szCs w:val="16"/>
        </w:rPr>
        <w:t>Pacaas</w:t>
      </w:r>
      <w:proofErr w:type="spellEnd"/>
      <w:r w:rsidRPr="004C7346">
        <w:rPr>
          <w:rFonts w:ascii="Arial" w:hAnsi="Arial" w:cs="Arial"/>
          <w:b/>
          <w:bCs/>
          <w:color w:val="000000"/>
          <w:sz w:val="16"/>
          <w:szCs w:val="16"/>
        </w:rPr>
        <w:t xml:space="preserve"> Novos - Subsolo, na cidade de Porto Velho – RO, pelo setor demandante. Agendamento através dos telefones 9944-2448 ou 3212-9750 (Daniele)</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7.  DAS CONDIÇÕES DE PAGAMENTO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7.1. A empresa detentora da Ata apresentará a Gerência Financeira do Órgão requisitante a nota fiscal referente ao fornecimento efetuado.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7.2. O respectivo Órgão terá o prazo de 10 (dez) dias úteis, a contar da apresentação da nota fiscal para aceitá-la ou rejeitá-la.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4C7346">
        <w:rPr>
          <w:rFonts w:ascii="Arial" w:hAnsi="Arial" w:cs="Arial"/>
          <w:b/>
          <w:bCs/>
          <w:color w:val="000000"/>
          <w:sz w:val="16"/>
          <w:szCs w:val="16"/>
        </w:rPr>
        <w:t>a</w:t>
      </w:r>
      <w:proofErr w:type="gramEnd"/>
      <w:r w:rsidRPr="004C7346">
        <w:rPr>
          <w:rFonts w:ascii="Arial" w:hAnsi="Arial" w:cs="Arial"/>
          <w:b/>
          <w:bCs/>
          <w:color w:val="000000"/>
          <w:sz w:val="16"/>
          <w:szCs w:val="16"/>
        </w:rPr>
        <w:t xml:space="preserve"> partir da data de sua reapresentação.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7.4. A devolução da nota fiscal não aprovada, em hipótese alguma, servirá de pretexto para que a empresa detentora da Ata suspenda quaisquer fornecimentos.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7.5. O Estado de Rondônia, através dos órgãos requisitantes, providenciará o pagamento no prazo de até 30 (trinta) dias corridos, contada da data do aceite da nota fiscal.</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8.  DA DOTAÇÃO ORÇAMENTÁRIA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 DAS SANÇÕES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xml:space="preserve">(Base Legal: art. 40, inciso III da Lei 8.666/93; </w:t>
      </w:r>
      <w:proofErr w:type="spellStart"/>
      <w:r w:rsidRPr="004C7346">
        <w:rPr>
          <w:rFonts w:ascii="Arial" w:hAnsi="Arial" w:cs="Arial"/>
          <w:b/>
          <w:bCs/>
          <w:color w:val="000000"/>
          <w:sz w:val="16"/>
          <w:szCs w:val="16"/>
        </w:rPr>
        <w:t>arts</w:t>
      </w:r>
      <w:proofErr w:type="spellEnd"/>
      <w:r w:rsidRPr="004C7346">
        <w:rPr>
          <w:rFonts w:ascii="Arial" w:hAnsi="Arial" w:cs="Arial"/>
          <w:b/>
          <w:bCs/>
          <w:color w:val="000000"/>
          <w:sz w:val="16"/>
          <w:szCs w:val="16"/>
        </w:rPr>
        <w:t>. 3º, XI, 8º, II e 14, I e II do Decreto 10.024/19; art. 3º, I, Lei 10520/02; art. 2º, II, “e” e 19, XI da IN 05/2008/MPOG).</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9.3.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9.5. As multas previstas nesta seção não eximem a adjudicatária ou contratada da reparação dos eventuais danos, perdas ou prejuízos que seu ato punível venha causar à Administração;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9.8. São exemplos de infração administrativa penalizáveis, nos termos da Lei nº 8.666, de 1993, da Lei nº 10.520, de 2002, do Decreto nº 12.205, de 2006, e do Decreto nº 10.024 de 20 de setembro de 2019:</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a) Inexecução total ou parcial do contrato;</w:t>
      </w:r>
    </w:p>
    <w:p w:rsidR="004C7346" w:rsidRPr="004C7346" w:rsidRDefault="004C7346" w:rsidP="004C7346">
      <w:pPr>
        <w:jc w:val="both"/>
        <w:rPr>
          <w:rFonts w:ascii="Arial" w:hAnsi="Arial" w:cs="Arial"/>
          <w:color w:val="000000"/>
          <w:sz w:val="16"/>
          <w:szCs w:val="16"/>
        </w:rPr>
      </w:pPr>
      <w:proofErr w:type="gramStart"/>
      <w:r w:rsidRPr="004C7346">
        <w:rPr>
          <w:rFonts w:ascii="Arial" w:hAnsi="Arial" w:cs="Arial"/>
          <w:b/>
          <w:bCs/>
          <w:color w:val="000000"/>
          <w:sz w:val="16"/>
          <w:szCs w:val="16"/>
        </w:rPr>
        <w:t>b )</w:t>
      </w:r>
      <w:proofErr w:type="gramEnd"/>
      <w:r w:rsidRPr="004C7346">
        <w:rPr>
          <w:rFonts w:ascii="Arial" w:hAnsi="Arial" w:cs="Arial"/>
          <w:b/>
          <w:bCs/>
          <w:color w:val="000000"/>
          <w:sz w:val="16"/>
          <w:szCs w:val="16"/>
        </w:rPr>
        <w:t xml:space="preserve"> Apresentação de documentação falsa;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c) Comportamento inidôneo;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d) Fraude fiscal;</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e) Descumprimento de qualquer dos deveres elencados no Edital ou no Contrato.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9.9. As sanções serão aplicadas, NO QUE COUBER, sem prejuízo da responsabilidade civil e criminal que possa ser acionada em desfavor da Contratada, conforme infração cometida e prejuízos causados à administração ou a terceiros;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8"/>
        <w:gridCol w:w="7339"/>
        <w:gridCol w:w="850"/>
        <w:gridCol w:w="1452"/>
      </w:tblGrid>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ITEM</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DESCRIÇÃO DA INFRAÇÃO AQUISIÇÃO</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GRAU</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MULTA*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xml:space="preserve">Permitir situação que crie a possibilidade ou cause </w:t>
            </w:r>
            <w:proofErr w:type="spellStart"/>
            <w:r w:rsidRPr="004C7346">
              <w:rPr>
                <w:rFonts w:ascii="Arial" w:hAnsi="Arial" w:cs="Arial"/>
                <w:b/>
                <w:bCs/>
                <w:color w:val="000000"/>
                <w:sz w:val="16"/>
                <w:szCs w:val="16"/>
              </w:rPr>
              <w:t>dano</w:t>
            </w:r>
            <w:proofErr w:type="spellEnd"/>
            <w:r w:rsidRPr="004C7346">
              <w:rPr>
                <w:rFonts w:ascii="Arial" w:hAnsi="Arial" w:cs="Arial"/>
                <w:b/>
                <w:bCs/>
                <w:color w:val="000000"/>
                <w:sz w:val="16"/>
                <w:szCs w:val="16"/>
              </w:rPr>
              <w:t xml:space="preserve"> físico, lesão corporal ou consequências letais;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06</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4,0%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2.</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Usar indevidamente informações sigilosas a que teve acesso;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06</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4,0%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3.</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Suspender ou interromper, salvo por motivo de força maior ou caso fortuito, os serviços contratuais por dia e por unidade de atendimento;</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05</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3,2%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4.</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Destruir ou danificar documentos por culpa ou dolo de seus agentes;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05</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3,2%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5.</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Recusar-se a executar serviço determinado pela FISCALIZAÇÃO, sem motivo justificado;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04</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1,6%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6.</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Manter funcionário sem qualificação para a execução dos serviços; por empregado e por dia.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03</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0,8%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7.</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Entregar o objeto incompleto, paliativo substitutivo como por caráter permanente, ou deixar de providenciar recomposição complementar;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02</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0,4%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8.</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Fornecer informação pérfida de serviço ou substituição de material;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02</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0,4%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Permitir a presença de funcionário sem uniforme e/ou com uniforme manchado, sujo, mal apresentado e/ou sem crachá registrado por ocorrência(s);</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01</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0,2% por dia</w:t>
            </w:r>
          </w:p>
        </w:tc>
      </w:tr>
      <w:tr w:rsidR="004C7346" w:rsidRPr="004C7346" w:rsidTr="004C7346">
        <w:trPr>
          <w:tblCellSpacing w:w="15" w:type="dxa"/>
        </w:trPr>
        <w:tc>
          <w:tcPr>
            <w:tcW w:w="10039" w:type="dxa"/>
            <w:gridSpan w:val="4"/>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Para os itens a seguir, deixar de:</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Efetuar o pagamento de seguros, encargos fiscais e sociais, assim como quaisquer despesas diretas e/ou indiretas relacionadas à execução deste contrato; por dia e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05</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3,2%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Cumprir prazo previamente estabelecido com a FISCALIZAÇÃO para fornecimento de materiais ou execução de serviços; por unidade de tempo definida para determinar o atraso.</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03</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0,8% por dia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Cumprir quaisquer dos itens do Edital e seus anexos, mesmo que não previstos nesta tabela de multas, após reincidência formalmente notificada pela FISCALIZAÇÃO;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03</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0,8%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Zelar pelas instalações do órgão e do ambiente de trabalho, por item e por dia;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03</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0,8%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14.</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Substituir o objeto não aceito pela FISCALIZAÇÃO, nos prazos estabelecidos no contrato ou determinado pela FISCALIZAÇÃO; por unidade de tempo definida para determinar o atraso.</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03</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0,8%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15.</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Cumprir determinação formal ou instrução complementar da FISCALIZAÇÃO,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03</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0,8%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16.</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Ressarcir o órgão por eventuais danos causados por seus funcionários, em veículos, equipamentos etc.</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02</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0,4% por dia</w:t>
            </w:r>
          </w:p>
        </w:tc>
      </w:tr>
      <w:tr w:rsidR="004C7346" w:rsidRPr="004C7346" w:rsidTr="004C7346">
        <w:trPr>
          <w:tblCellSpacing w:w="15" w:type="dxa"/>
        </w:trPr>
        <w:tc>
          <w:tcPr>
            <w:tcW w:w="0" w:type="auto"/>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17.</w:t>
            </w:r>
          </w:p>
        </w:tc>
        <w:tc>
          <w:tcPr>
            <w:tcW w:w="7309"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Manter a documentação de habilitação atualizada; por item, por ocorrência.</w:t>
            </w:r>
          </w:p>
        </w:tc>
        <w:tc>
          <w:tcPr>
            <w:tcW w:w="820"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01</w:t>
            </w:r>
          </w:p>
        </w:tc>
        <w:tc>
          <w:tcPr>
            <w:tcW w:w="1407" w:type="dxa"/>
            <w:vAlign w:val="center"/>
            <w:hideMark/>
          </w:tcPr>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0,2% por dia</w:t>
            </w:r>
          </w:p>
        </w:tc>
      </w:tr>
    </w:tbl>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Incidente sobre o valor da parcela inadimplida.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9.11. As sanções aqui previstas poderão ser aplicadas concomitantemente, facultada a defesa prévia do interessado, no respectivo processo, no prazo de 05 (cinco) dias úteis;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9.12. Após 30 (trinta) dias da falta de execução do objeto, será considerada inexecução total do contrato, o que ensejará a rescisão contratual;</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9.13. As sanções de natureza pecuniária serão diretamente descontadas de créditos que eventualmente detenha a CONTRATADA ou efetuada a sua cobrança na forma prevista em lei;</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9.16. A sanção será obrigatoriamente registrada no Sistema de Cadastramento Unificado de Fornecedores – SICAF, bem como em sistemas Estaduais;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a) Tenham sofrido condenações definitivas por praticarem, por meio dolosos, fraude fiscal no recolhimento de tributos;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b) Tenham praticado atos ilícitos visando a frustrar os objetivos da licitação;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c) Demonstrem não possuir idoneidade para contratar com a Administração em virtude de atos ilícitos praticados.</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 DA UTILIZAÇÃO DA ATA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10.2. É facultada aos órgãos s ou entidades municipais, distritais ou estaduais a adesão a ata de registro de preços da Administração Pública Estadual.</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10.6. Caberá ao órgão que se utilizar da ata, verificar a vantagem econômica da adesão a este Registro de Preço.</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 DA ALTERAÇÃO DA ATA DE REGISTRO DE PREÇOS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11.3. Os fornecedores que não aceitarem reduzir seus preços aos valores praticados pelo mercado serão liberados do compromisso assumido, sem aplicação de penalidade.</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11.4. A ordem de classificação dos fornecedores que aceitarem reduzir seus preços aos valores de mercado observará a classificação original.</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11.5. Quando o preço de mercado tornar-se superior aos preços registrados, e o fornecedor não puder cumprir o compromisso, o órgão gerenciador poderá:</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11.5.1. Liberar o fornecedor do compromisso assumido, caso a comunicação ocorra antes do pedido de fornecimento, sem aplicação de penalidade se confirmada a veracidade dos motivos e comprovantes;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11.5.2. Convocar os demais fornecedores para assegurar igual oportunidade de negociação;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 DAS OBRIGAÇÕES DA DETENTORA DO REGISTRO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12.1. Substituir em qualquer tempo e sem qualquer Ônus para o Órgão/Entidade toda ou parte da remessa devolvida pela mesma, no prazo de 05 (cinco) dias úteis, caso constatada divergência na especificação;</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12.2. Dispor-se a toda e qualquer fiscalização, no tocante ao fornecimento do produto, assim como ao cumprimento das obrigações previstas na ATA;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12.3.  Prover todos os meios necessários à garantia da plena operacionalidade do fornecimento, inclusive considerados os casos de greve ou paralisação de qualquer natureza;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12.5. Comunicar imediatamente à Administração Pública qualquer alteração ocorrida no endereço, conta bancária e outros julgáveis necessários para recebimento de correspondência;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12.6. Respeitar e fazer cumprir a legislação de segurança e saúde no trabalho, previstas nas normas regulamentadoras pertinentes;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12.10. Todos os impostos e taxas que forem devidos em decorrência das contratações do objeto do Edital correrão por conta exclusiva da contratada;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 DAS OBRIGAÇÕES DOS ÓRGÃOS REQUISITANTES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13.1. Proporcionar todas as facilidades indispensáveis à boa execução das obrigações contratuais;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13.2. Rejeitar, no todo ou em parte, os objetos desta Ata entregues em desacordo com as obrigações assumidas pelo fornecedor;</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13.3. Notificar a CONTRATADA de qualquer irregularidade encontrada no fornecimento dos objetos desta Ata;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13.4. Efetuar o pagamento à(s) contratada(s) de acordo com as condições de preços e prazos estabelecidos no edital e ata de registro de preços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xml:space="preserve">13.6. Não haverá </w:t>
      </w:r>
      <w:proofErr w:type="spellStart"/>
      <w:r w:rsidRPr="004C7346">
        <w:rPr>
          <w:rFonts w:ascii="Arial" w:hAnsi="Arial" w:cs="Arial"/>
          <w:b/>
          <w:bCs/>
          <w:color w:val="000000"/>
          <w:sz w:val="16"/>
          <w:szCs w:val="16"/>
        </w:rPr>
        <w:t>sob-hipótese</w:t>
      </w:r>
      <w:proofErr w:type="spellEnd"/>
      <w:r w:rsidRPr="004C7346">
        <w:rPr>
          <w:rFonts w:ascii="Arial" w:hAnsi="Arial" w:cs="Arial"/>
          <w:b/>
          <w:bCs/>
          <w:color w:val="000000"/>
          <w:sz w:val="16"/>
          <w:szCs w:val="16"/>
        </w:rPr>
        <w:t xml:space="preserve"> alguma, pagamento antecipado.</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14. DOS ÓRGÃOS PARTICIPANTES: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14.1. É participante desta ata o seguinte órgão pertencente à Administração Pública do Estado de Rondônia:</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SUGESP - Superintendência De Gestão Dos Gastos Públicos Administrativos.</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15.  DISPOSIÇÕES GERAIS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15.2. Fica a Detentora ciente que a publicidade da ata de registro de preços na imprensa oficial terá efeito de compromisso nas condições ofertadas e pactuadas na proposta apresentada à licitação.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15.4. Fazem parte integrante desta Ata, para todos os efeitos legais: o Edital de Licitação e seus anexos, bem como, o ANEXO ÚNICO desta ata que contém os preços registrados e respectivos detentores.</w:t>
      </w:r>
    </w:p>
    <w:p w:rsidR="004C7346" w:rsidRPr="004C7346" w:rsidRDefault="004C7346" w:rsidP="004C7346">
      <w:pPr>
        <w:jc w:val="both"/>
        <w:rPr>
          <w:rFonts w:ascii="Arial" w:hAnsi="Arial" w:cs="Arial"/>
          <w:color w:val="000000"/>
          <w:sz w:val="16"/>
          <w:szCs w:val="16"/>
        </w:rPr>
      </w:pPr>
      <w:r w:rsidRPr="004C7346">
        <w:rPr>
          <w:rFonts w:ascii="Arial" w:hAnsi="Arial" w:cs="Arial"/>
          <w:color w:val="000000"/>
          <w:sz w:val="16"/>
          <w:szCs w:val="16"/>
        </w:rPr>
        <w:t> </w:t>
      </w:r>
    </w:p>
    <w:p w:rsidR="004C7346" w:rsidRPr="004C7346" w:rsidRDefault="004C7346" w:rsidP="004C7346">
      <w:pPr>
        <w:jc w:val="both"/>
        <w:rPr>
          <w:rFonts w:ascii="Arial" w:hAnsi="Arial" w:cs="Arial"/>
          <w:color w:val="000000"/>
          <w:sz w:val="16"/>
          <w:szCs w:val="16"/>
        </w:rPr>
      </w:pPr>
      <w:r w:rsidRPr="004C7346">
        <w:rPr>
          <w:rFonts w:ascii="Arial" w:hAnsi="Arial" w:cs="Arial"/>
          <w:b/>
          <w:bCs/>
          <w:color w:val="000000"/>
          <w:sz w:val="16"/>
          <w:szCs w:val="16"/>
        </w:rPr>
        <w:t>        Fica eleito o foro do Município de Porto Velho/RO para dirimir as eventuais controvérsias decorrentes do presente ajuste.</w:t>
      </w:r>
    </w:p>
    <w:p w:rsidR="009D2314" w:rsidRPr="002A19F5" w:rsidRDefault="009D2314" w:rsidP="009D2314">
      <w:pPr>
        <w:jc w:val="both"/>
        <w:rPr>
          <w:rFonts w:ascii="Arial" w:hAnsi="Arial" w:cs="Arial"/>
          <w:color w:val="000000"/>
          <w:sz w:val="16"/>
          <w:szCs w:val="16"/>
        </w:rPr>
      </w:pPr>
      <w:r w:rsidRPr="002A19F5">
        <w:rPr>
          <w:rFonts w:ascii="Arial" w:hAnsi="Arial" w:cs="Arial"/>
          <w:color w:val="000000"/>
          <w:sz w:val="16"/>
          <w:szCs w:val="16"/>
        </w:rPr>
        <w:t>.</w:t>
      </w:r>
    </w:p>
    <w:p w:rsidR="000B1908" w:rsidRPr="00607E31" w:rsidRDefault="000B1908"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ÓRGÃO GERENCIADOR:</w:t>
      </w:r>
    </w:p>
    <w:p w:rsidR="005F5204" w:rsidRPr="00607E31" w:rsidRDefault="005F5204" w:rsidP="001D7CAD">
      <w:pPr>
        <w:ind w:right="47"/>
        <w:rPr>
          <w:rFonts w:ascii="Arial" w:hAnsi="Arial" w:cs="Arial"/>
          <w:b/>
          <w:bCs/>
          <w:color w:val="000000"/>
          <w:sz w:val="16"/>
          <w:szCs w:val="16"/>
        </w:rPr>
      </w:pPr>
    </w:p>
    <w:p w:rsidR="00502DD0" w:rsidRPr="00607E31" w:rsidRDefault="004E5EA0" w:rsidP="00502DD0">
      <w:pPr>
        <w:ind w:right="47"/>
        <w:rPr>
          <w:rFonts w:ascii="Arial" w:hAnsi="Arial" w:cs="Arial"/>
          <w:b/>
          <w:bCs/>
          <w:color w:val="000000"/>
          <w:sz w:val="16"/>
          <w:szCs w:val="16"/>
        </w:rPr>
      </w:pPr>
      <w:r w:rsidRPr="00607E31">
        <w:rPr>
          <w:rFonts w:ascii="Arial" w:hAnsi="Arial" w:cs="Arial"/>
          <w:b/>
          <w:bCs/>
          <w:color w:val="000000"/>
          <w:sz w:val="16"/>
          <w:szCs w:val="16"/>
        </w:rPr>
        <w:t>MÁRCIO ROGÉR</w:t>
      </w:r>
      <w:r w:rsidR="003A2059" w:rsidRPr="00607E31">
        <w:rPr>
          <w:rFonts w:ascii="Arial" w:hAnsi="Arial" w:cs="Arial"/>
          <w:b/>
          <w:bCs/>
          <w:color w:val="000000"/>
          <w:sz w:val="16"/>
          <w:szCs w:val="16"/>
        </w:rPr>
        <w:t>IO GABRIEL</w:t>
      </w:r>
      <w:r w:rsidR="003A2059" w:rsidRPr="00607E31">
        <w:rPr>
          <w:rFonts w:ascii="Arial" w:hAnsi="Arial" w:cs="Arial"/>
          <w:b/>
          <w:bCs/>
          <w:color w:val="000000"/>
          <w:sz w:val="16"/>
          <w:szCs w:val="16"/>
        </w:rPr>
        <w:tab/>
      </w:r>
      <w:r w:rsidR="003A2059" w:rsidRPr="00607E31">
        <w:rPr>
          <w:rFonts w:ascii="Arial" w:hAnsi="Arial" w:cs="Arial"/>
          <w:b/>
          <w:bCs/>
          <w:color w:val="000000"/>
          <w:sz w:val="16"/>
          <w:szCs w:val="16"/>
        </w:rPr>
        <w:tab/>
        <w:t>MÁ</w:t>
      </w:r>
      <w:r w:rsidR="00502DD0" w:rsidRPr="00607E31">
        <w:rPr>
          <w:rFonts w:ascii="Arial" w:hAnsi="Arial" w:cs="Arial"/>
          <w:b/>
          <w:bCs/>
          <w:color w:val="000000"/>
          <w:sz w:val="16"/>
          <w:szCs w:val="16"/>
        </w:rPr>
        <w:t>RCIA CARVALHO GUEDES</w:t>
      </w:r>
    </w:p>
    <w:p w:rsidR="00502DD0" w:rsidRPr="00607E31" w:rsidRDefault="00502DD0" w:rsidP="00502DD0">
      <w:pPr>
        <w:ind w:right="47"/>
        <w:rPr>
          <w:rFonts w:ascii="Arial" w:hAnsi="Arial" w:cs="Arial"/>
          <w:bCs/>
          <w:color w:val="000000"/>
          <w:sz w:val="16"/>
          <w:szCs w:val="16"/>
        </w:rPr>
      </w:pPr>
      <w:r w:rsidRPr="00607E31">
        <w:rPr>
          <w:rFonts w:ascii="Arial" w:hAnsi="Arial" w:cs="Arial"/>
          <w:bCs/>
          <w:color w:val="000000"/>
          <w:sz w:val="16"/>
          <w:szCs w:val="16"/>
        </w:rPr>
        <w:t>Superintendente Estadual de Licitações</w:t>
      </w:r>
      <w:r w:rsidRPr="00607E31">
        <w:rPr>
          <w:rFonts w:ascii="Arial" w:hAnsi="Arial" w:cs="Arial"/>
          <w:bCs/>
          <w:color w:val="000000"/>
          <w:sz w:val="16"/>
          <w:szCs w:val="16"/>
        </w:rPr>
        <w:tab/>
      </w:r>
      <w:r w:rsidRPr="00607E31">
        <w:rPr>
          <w:rFonts w:ascii="Arial" w:hAnsi="Arial" w:cs="Arial"/>
          <w:bCs/>
          <w:color w:val="000000"/>
          <w:sz w:val="16"/>
          <w:szCs w:val="16"/>
        </w:rPr>
        <w:tab/>
        <w:t>Coordenadora de Sistema de Registro de Preços</w:t>
      </w:r>
    </w:p>
    <w:p w:rsidR="00E746DF" w:rsidRPr="00607E31" w:rsidRDefault="00E746DF" w:rsidP="00502DD0">
      <w:pPr>
        <w:ind w:right="47"/>
        <w:rPr>
          <w:rFonts w:ascii="Arial" w:hAnsi="Arial" w:cs="Arial"/>
          <w:color w:val="000000"/>
          <w:sz w:val="16"/>
          <w:szCs w:val="16"/>
        </w:rPr>
      </w:pPr>
    </w:p>
    <w:p w:rsidR="00876638" w:rsidRPr="00607E31" w:rsidRDefault="00876638"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EMPRESA</w:t>
      </w:r>
      <w:bookmarkStart w:id="1" w:name="_GoBack"/>
      <w:bookmarkEnd w:id="1"/>
      <w:r w:rsidR="00490488" w:rsidRPr="00607E31">
        <w:rPr>
          <w:rFonts w:ascii="Arial" w:hAnsi="Arial" w:cs="Arial"/>
          <w:b/>
          <w:bCs/>
          <w:color w:val="000000"/>
          <w:sz w:val="16"/>
          <w:szCs w:val="16"/>
        </w:rPr>
        <w:t>(S)</w:t>
      </w:r>
      <w:r w:rsidR="004C43D9" w:rsidRPr="00607E31">
        <w:rPr>
          <w:rFonts w:ascii="Arial" w:hAnsi="Arial" w:cs="Arial"/>
          <w:b/>
          <w:bCs/>
          <w:color w:val="000000"/>
          <w:sz w:val="16"/>
          <w:szCs w:val="16"/>
        </w:rPr>
        <w:t xml:space="preserve"> DETENTORA</w:t>
      </w:r>
      <w:r w:rsidR="00490488" w:rsidRPr="00607E31">
        <w:rPr>
          <w:rFonts w:ascii="Arial" w:hAnsi="Arial" w:cs="Arial"/>
          <w:b/>
          <w:bCs/>
          <w:color w:val="000000"/>
          <w:sz w:val="16"/>
          <w:szCs w:val="16"/>
        </w:rPr>
        <w:t>(S)</w:t>
      </w:r>
      <w:r w:rsidRPr="00607E31">
        <w:rPr>
          <w:rFonts w:ascii="Arial" w:hAnsi="Arial" w:cs="Arial"/>
          <w:b/>
          <w:bCs/>
          <w:color w:val="000000"/>
          <w:sz w:val="16"/>
          <w:szCs w:val="16"/>
        </w:rPr>
        <w:t>:</w:t>
      </w:r>
    </w:p>
    <w:p w:rsidR="009D2314" w:rsidRPr="00607E31" w:rsidRDefault="002B37D9" w:rsidP="00526790">
      <w:pPr>
        <w:ind w:right="47"/>
        <w:jc w:val="both"/>
        <w:rPr>
          <w:rFonts w:ascii="Arial" w:hAnsi="Arial" w:cs="Arial"/>
          <w:b/>
          <w:bCs/>
          <w:color w:val="000000"/>
          <w:sz w:val="16"/>
          <w:szCs w:val="16"/>
        </w:rPr>
      </w:pPr>
      <w:r w:rsidRPr="00607E31">
        <w:rPr>
          <w:rFonts w:ascii="Arial" w:hAnsi="Arial" w:cs="Arial"/>
          <w:b/>
          <w:bCs/>
          <w:color w:val="000000"/>
          <w:sz w:val="16"/>
          <w:szCs w:val="16"/>
        </w:rPr>
        <w:t>Qualificada</w:t>
      </w:r>
      <w:r w:rsidR="00490488" w:rsidRPr="00607E31">
        <w:rPr>
          <w:rFonts w:ascii="Arial" w:hAnsi="Arial" w:cs="Arial"/>
          <w:b/>
          <w:bCs/>
          <w:color w:val="000000"/>
          <w:sz w:val="16"/>
          <w:szCs w:val="16"/>
        </w:rPr>
        <w:t>(s)</w:t>
      </w:r>
      <w:r w:rsidRPr="00607E3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4C7346" w:rsidP="002A19F5">
      <w:pPr>
        <w:tabs>
          <w:tab w:val="left" w:pos="6521"/>
        </w:tabs>
        <w:ind w:right="47"/>
        <w:jc w:val="both"/>
        <w:rPr>
          <w:rFonts w:ascii="Arial" w:hAnsi="Arial" w:cs="Arial"/>
          <w:b/>
          <w:bCs/>
          <w:color w:val="000000"/>
          <w:sz w:val="10"/>
          <w:szCs w:val="10"/>
        </w:rPr>
      </w:pPr>
      <w:r>
        <w:rPr>
          <w:rFonts w:ascii="Arial" w:hAnsi="Arial" w:cs="Arial"/>
          <w:b/>
          <w:bCs/>
          <w:color w:val="000000"/>
          <w:sz w:val="10"/>
          <w:szCs w:val="10"/>
        </w:rPr>
        <w:t>FRA</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0F2" w:rsidRDefault="00A130F2">
      <w:r>
        <w:separator/>
      </w:r>
    </w:p>
  </w:endnote>
  <w:endnote w:type="continuationSeparator" w:id="0">
    <w:p w:rsidR="00A130F2" w:rsidRDefault="00A1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0F2" w:rsidRDefault="00A130F2">
      <w:r>
        <w:separator/>
      </w:r>
    </w:p>
  </w:footnote>
  <w:footnote w:type="continuationSeparator" w:id="0">
    <w:p w:rsidR="00A130F2" w:rsidRDefault="00A13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AE164C"/>
    <w:multiLevelType w:val="multilevel"/>
    <w:tmpl w:val="2D68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3">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463E8E"/>
    <w:multiLevelType w:val="multilevel"/>
    <w:tmpl w:val="03F8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526423"/>
    <w:multiLevelType w:val="multilevel"/>
    <w:tmpl w:val="B7C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93B6D86"/>
    <w:multiLevelType w:val="multilevel"/>
    <w:tmpl w:val="F5F4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3D21A5"/>
    <w:multiLevelType w:val="multilevel"/>
    <w:tmpl w:val="C5EED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9D6955"/>
    <w:multiLevelType w:val="multilevel"/>
    <w:tmpl w:val="0C94D40E"/>
    <w:lvl w:ilvl="0">
      <w:start w:val="1"/>
      <w:numFmt w:val="decimal"/>
      <w:lvlText w:val="%1."/>
      <w:lvlJc w:val="left"/>
      <w:pPr>
        <w:tabs>
          <w:tab w:val="num" w:pos="720"/>
        </w:tabs>
        <w:ind w:left="720" w:hanging="360"/>
      </w:pPr>
      <w:rPr>
        <w:rFonts w:ascii="Calibri" w:eastAsia="Times New Roman" w:hAnsi="Calibr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D1B74AF"/>
    <w:multiLevelType w:val="multilevel"/>
    <w:tmpl w:val="4612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3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8C10FE9"/>
    <w:multiLevelType w:val="multilevel"/>
    <w:tmpl w:val="0964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7"/>
    <w:lvlOverride w:ilvl="0">
      <w:startOverride w:val="3"/>
    </w:lvlOverride>
  </w:num>
  <w:num w:numId="4">
    <w:abstractNumId w:val="32"/>
    <w:lvlOverride w:ilvl="0">
      <w:startOverride w:val="4"/>
    </w:lvlOverride>
  </w:num>
  <w:num w:numId="5">
    <w:abstractNumId w:val="31"/>
    <w:lvlOverride w:ilvl="0">
      <w:startOverride w:val="5"/>
    </w:lvlOverride>
  </w:num>
  <w:num w:numId="6">
    <w:abstractNumId w:val="17"/>
    <w:lvlOverride w:ilvl="0">
      <w:startOverride w:val="6"/>
    </w:lvlOverride>
  </w:num>
  <w:num w:numId="7">
    <w:abstractNumId w:val="13"/>
    <w:lvlOverride w:ilvl="0">
      <w:startOverride w:val="7"/>
    </w:lvlOverride>
  </w:num>
  <w:num w:numId="8">
    <w:abstractNumId w:val="27"/>
    <w:lvlOverride w:ilvl="0">
      <w:startOverride w:val="8"/>
    </w:lvlOverride>
  </w:num>
  <w:num w:numId="9">
    <w:abstractNumId w:val="41"/>
    <w:lvlOverride w:ilvl="0">
      <w:startOverride w:val="9"/>
    </w:lvlOverride>
  </w:num>
  <w:num w:numId="10">
    <w:abstractNumId w:val="35"/>
    <w:lvlOverride w:ilvl="0">
      <w:startOverride w:val="10"/>
    </w:lvlOverride>
  </w:num>
  <w:num w:numId="11">
    <w:abstractNumId w:val="9"/>
    <w:lvlOverride w:ilvl="0">
      <w:startOverride w:val="11"/>
    </w:lvlOverride>
  </w:num>
  <w:num w:numId="12">
    <w:abstractNumId w:val="30"/>
  </w:num>
  <w:num w:numId="13">
    <w:abstractNumId w:val="43"/>
  </w:num>
  <w:num w:numId="14">
    <w:abstractNumId w:val="40"/>
  </w:num>
  <w:num w:numId="15">
    <w:abstractNumId w:val="34"/>
  </w:num>
  <w:num w:numId="16">
    <w:abstractNumId w:val="37"/>
    <w:lvlOverride w:ilvl="0">
      <w:startOverride w:val="2"/>
    </w:lvlOverride>
  </w:num>
  <w:num w:numId="17">
    <w:abstractNumId w:val="42"/>
    <w:lvlOverride w:ilvl="0">
      <w:startOverride w:val="3"/>
    </w:lvlOverride>
  </w:num>
  <w:num w:numId="18">
    <w:abstractNumId w:val="24"/>
    <w:lvlOverride w:ilvl="0">
      <w:startOverride w:val="4"/>
    </w:lvlOverride>
  </w:num>
  <w:num w:numId="19">
    <w:abstractNumId w:val="15"/>
    <w:lvlOverride w:ilvl="0">
      <w:startOverride w:val="5"/>
    </w:lvlOverride>
  </w:num>
  <w:num w:numId="20">
    <w:abstractNumId w:val="19"/>
    <w:lvlOverride w:ilvl="0">
      <w:startOverride w:val="6"/>
    </w:lvlOverride>
  </w:num>
  <w:num w:numId="21">
    <w:abstractNumId w:val="28"/>
    <w:lvlOverride w:ilvl="0">
      <w:startOverride w:val="7"/>
    </w:lvlOverride>
  </w:num>
  <w:num w:numId="22">
    <w:abstractNumId w:val="26"/>
    <w:lvlOverride w:ilvl="0">
      <w:startOverride w:val="8"/>
    </w:lvlOverride>
  </w:num>
  <w:num w:numId="23">
    <w:abstractNumId w:val="20"/>
  </w:num>
  <w:num w:numId="24">
    <w:abstractNumId w:val="45"/>
    <w:lvlOverride w:ilvl="0">
      <w:startOverride w:val="2"/>
    </w:lvlOverride>
  </w:num>
  <w:num w:numId="25">
    <w:abstractNumId w:val="11"/>
    <w:lvlOverride w:ilvl="0">
      <w:startOverride w:val="3"/>
    </w:lvlOverride>
  </w:num>
  <w:num w:numId="26">
    <w:abstractNumId w:val="36"/>
    <w:lvlOverride w:ilvl="0">
      <w:startOverride w:val="4"/>
    </w:lvlOverride>
  </w:num>
  <w:num w:numId="27">
    <w:abstractNumId w:val="39"/>
    <w:lvlOverride w:ilvl="0">
      <w:startOverride w:val="5"/>
    </w:lvlOverride>
  </w:num>
  <w:num w:numId="28">
    <w:abstractNumId w:val="3"/>
    <w:lvlOverride w:ilvl="0">
      <w:startOverride w:val="6"/>
    </w:lvlOverride>
  </w:num>
  <w:num w:numId="29">
    <w:abstractNumId w:val="33"/>
    <w:lvlOverride w:ilvl="0">
      <w:startOverride w:val="7"/>
    </w:lvlOverride>
  </w:num>
  <w:num w:numId="30">
    <w:abstractNumId w:val="44"/>
    <w:lvlOverride w:ilvl="0">
      <w:startOverride w:val="8"/>
    </w:lvlOverride>
  </w:num>
  <w:num w:numId="31">
    <w:abstractNumId w:val="18"/>
    <w:lvlOverride w:ilvl="0">
      <w:startOverride w:val="9"/>
    </w:lvlOverride>
  </w:num>
  <w:num w:numId="32">
    <w:abstractNumId w:val="8"/>
    <w:lvlOverride w:ilvl="0">
      <w:startOverride w:val="10"/>
    </w:lvlOverride>
  </w:num>
  <w:num w:numId="33">
    <w:abstractNumId w:val="12"/>
  </w:num>
  <w:num w:numId="34">
    <w:abstractNumId w:val="6"/>
  </w:num>
  <w:num w:numId="35">
    <w:abstractNumId w:val="29"/>
  </w:num>
  <w:num w:numId="36">
    <w:abstractNumId w:val="2"/>
  </w:num>
  <w:num w:numId="37">
    <w:abstractNumId w:val="21"/>
  </w:num>
  <w:num w:numId="38">
    <w:abstractNumId w:val="38"/>
  </w:num>
  <w:num w:numId="39">
    <w:abstractNumId w:val="1"/>
  </w:num>
  <w:num w:numId="40">
    <w:abstractNumId w:val="16"/>
  </w:num>
  <w:num w:numId="41">
    <w:abstractNumId w:val="16"/>
    <w:lvlOverride w:ilvl="0">
      <w:startOverride w:val="3"/>
    </w:lvlOverride>
  </w:num>
  <w:num w:numId="42">
    <w:abstractNumId w:val="16"/>
    <w:lvlOverride w:ilvl="0">
      <w:startOverride w:val="4"/>
    </w:lvlOverride>
  </w:num>
  <w:num w:numId="43">
    <w:abstractNumId w:val="16"/>
    <w:lvlOverride w:ilvl="0">
      <w:startOverride w:val="5"/>
    </w:lvlOverride>
  </w:num>
  <w:num w:numId="44">
    <w:abstractNumId w:val="16"/>
    <w:lvlOverride w:ilvl="0">
      <w:startOverride w:val="6"/>
    </w:lvlOverride>
  </w:num>
  <w:num w:numId="45">
    <w:abstractNumId w:val="16"/>
    <w:lvlOverride w:ilvl="0">
      <w:startOverride w:val="7"/>
    </w:lvlOverride>
  </w:num>
  <w:num w:numId="46">
    <w:abstractNumId w:val="10"/>
  </w:num>
  <w:num w:numId="47">
    <w:abstractNumId w:val="14"/>
  </w:num>
  <w:num w:numId="48">
    <w:abstractNumId w:val="25"/>
  </w:num>
  <w:num w:numId="49">
    <w:abstractNumId w:val="23"/>
  </w:num>
  <w:num w:numId="50">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763B1"/>
    <w:rsid w:val="004869B4"/>
    <w:rsid w:val="0048752A"/>
    <w:rsid w:val="0049023D"/>
    <w:rsid w:val="00490488"/>
    <w:rsid w:val="004925D2"/>
    <w:rsid w:val="004950D6"/>
    <w:rsid w:val="004A3852"/>
    <w:rsid w:val="004B50C5"/>
    <w:rsid w:val="004C1DF6"/>
    <w:rsid w:val="004C43D9"/>
    <w:rsid w:val="004C7346"/>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C6EC893-2C6B-46CE-B66B-19DF8C8E8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623722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ACFEC8-083C-4BA6-B364-365FF391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3282</Words>
  <Characters>18318</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2019-10-01T13:50:00Z</cp:lastPrinted>
  <dcterms:created xsi:type="dcterms:W3CDTF">2020-07-10T13:51:00Z</dcterms:created>
  <dcterms:modified xsi:type="dcterms:W3CDTF">2020-07-10T13:52:00Z</dcterms:modified>
</cp:coreProperties>
</file>