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drawing>
          <wp:inline distB="0" distT="0" distL="0" distR="0">
            <wp:extent cx="1995170" cy="846455"/>
            <wp:effectExtent b="0" l="0" r="0" t="0"/>
            <wp:docPr descr="C:\Users\835120~1\AppData\Local\Temp\Rar$DRa0.613\Marca-2015-Horizontal.png" id="2"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SUPERINTENDÊNCIA ESTADUAL DE LICITAÇÕES - SUPEL</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Complexo Rio Madeira - Ed. Pacaás Novos – 2º Andar.</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Porto Velho, Rondônia. </w:t>
      </w:r>
    </w:p>
    <w:p w:rsidR="00000000" w:rsidDel="00000000" w:rsidP="00000000" w:rsidRDefault="00000000" w:rsidRPr="00000000" w14:paraId="00000005">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ATA DE REGISTRO DE PREÇOS: N° 1591/2020</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011/2020</w:t>
      </w:r>
    </w:p>
    <w:p w:rsidR="00000000" w:rsidDel="00000000" w:rsidP="00000000" w:rsidRDefault="00000000" w:rsidRPr="00000000" w14:paraId="00000009">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w:t>
      </w:r>
      <w:r w:rsidDel="00000000" w:rsidR="00000000" w:rsidRPr="00000000">
        <w:rPr>
          <w:rFonts w:ascii="Arial" w:cs="Arial" w:eastAsia="Arial" w:hAnsi="Arial"/>
          <w:sz w:val="16"/>
          <w:szCs w:val="16"/>
          <w:rtl w:val="0"/>
        </w:rPr>
        <w:t xml:space="preserve">Nº 0009.331262/2019-51</w:t>
      </w:r>
      <w:r w:rsidDel="00000000" w:rsidR="00000000" w:rsidRPr="00000000">
        <w:rPr>
          <w:rtl w:val="0"/>
        </w:rPr>
      </w:r>
    </w:p>
    <w:p w:rsidR="00000000" w:rsidDel="00000000" w:rsidP="00000000" w:rsidRDefault="00000000" w:rsidRPr="00000000" w14:paraId="0000000A">
      <w:pPr>
        <w:ind w:right="0"/>
        <w:jc w:val="both"/>
        <w:rPr>
          <w:rFonts w:ascii="Arial" w:cs="Arial" w:eastAsia="Arial" w:hAnsi="Arial"/>
          <w:b w:val="1"/>
          <w:sz w:val="16"/>
          <w:szCs w:val="16"/>
        </w:rPr>
      </w:pPr>
      <w:r w:rsidDel="00000000" w:rsidR="00000000" w:rsidRPr="00000000">
        <w:rPr>
          <w:rFonts w:ascii="Arial" w:cs="Arial" w:eastAsia="Arial" w:hAnsi="Arial"/>
          <w:sz w:val="16"/>
          <w:szCs w:val="16"/>
          <w:rtl w:val="0"/>
        </w:rPr>
        <w:t xml:space="preserve">Pelo presente instrumento, o </w:t>
      </w:r>
      <w:r w:rsidDel="00000000" w:rsidR="00000000" w:rsidRPr="00000000">
        <w:rPr>
          <w:rFonts w:ascii="Arial" w:cs="Arial" w:eastAsia="Arial" w:hAnsi="Arial"/>
          <w:b w:val="1"/>
          <w:sz w:val="16"/>
          <w:szCs w:val="16"/>
          <w:rtl w:val="0"/>
        </w:rPr>
        <w:t xml:space="preserve">ESTADO DE RONDÔNIA</w:t>
      </w:r>
      <w:r w:rsidDel="00000000" w:rsidR="00000000" w:rsidRPr="00000000">
        <w:rPr>
          <w:rFonts w:ascii="Arial" w:cs="Arial" w:eastAsia="Arial" w:hAnsi="Arial"/>
          <w:sz w:val="16"/>
          <w:szCs w:val="16"/>
          <w:rtl w:val="0"/>
        </w:rPr>
        <w:t xml:space="preserve">, através da SUPERINTENDÊNCIA ESTADUAL DE LICITAÇÕES – SUPEL </w:t>
      </w:r>
      <w:r w:rsidDel="00000000" w:rsidR="00000000" w:rsidRPr="00000000">
        <w:rPr>
          <w:rFonts w:ascii="Arial" w:cs="Arial" w:eastAsia="Arial" w:hAnsi="Arial"/>
          <w:color w:val="000000"/>
          <w:sz w:val="16"/>
          <w:szCs w:val="16"/>
          <w:rtl w:val="0"/>
        </w:rPr>
        <w:t xml:space="preserve">situada à </w:t>
      </w:r>
      <w:r w:rsidDel="00000000" w:rsidR="00000000" w:rsidRPr="00000000">
        <w:rPr>
          <w:rFonts w:ascii="Arial" w:cs="Arial" w:eastAsia="Arial" w:hAnsi="Arial"/>
          <w:sz w:val="16"/>
          <w:szCs w:val="16"/>
          <w:rtl w:val="0"/>
        </w:rPr>
        <w:t xml:space="preserve">AV. </w:t>
      </w:r>
      <w:r w:rsidDel="00000000" w:rsidR="00000000" w:rsidRPr="00000000">
        <w:rPr>
          <w:rFonts w:ascii="Arial" w:cs="Arial" w:eastAsia="Arial" w:hAnsi="Arial"/>
          <w:color w:val="000000"/>
          <w:sz w:val="16"/>
          <w:szCs w:val="16"/>
          <w:rtl w:val="0"/>
        </w:rPr>
        <w:t xml:space="preserve">FARQUAR N° 2986 COMPLEXO RIO MADEIRA EDIFÍCIO, RIO PACAÁS NOVOS 2º ANDAR – BAIRRO: PEDRINHAS, neste ato representado pelo Superintendente </w:t>
      </w:r>
      <w:r w:rsidDel="00000000" w:rsidR="00000000" w:rsidRPr="00000000">
        <w:rPr>
          <w:rFonts w:ascii="Arial" w:cs="Arial" w:eastAsia="Arial" w:hAnsi="Arial"/>
          <w:sz w:val="16"/>
          <w:szCs w:val="16"/>
          <w:rtl w:val="0"/>
        </w:rPr>
        <w:t xml:space="preserve">da SUPEL, Senhor Márcio Rogério Gabriel e a(s) empresa(s) qualificada(s) no Anexo Único desta Ata, resolvem </w:t>
      </w:r>
      <w:r w:rsidDel="00000000" w:rsidR="00000000" w:rsidRPr="00000000">
        <w:rPr>
          <w:rFonts w:ascii="Arial" w:cs="Arial" w:eastAsia="Arial" w:hAnsi="Arial"/>
          <w:b w:val="1"/>
          <w:sz w:val="16"/>
          <w:szCs w:val="16"/>
          <w:rtl w:val="0"/>
        </w:rPr>
        <w:t xml:space="preserve">REGISTRAR O PREÇO</w:t>
      </w:r>
      <w:r w:rsidDel="00000000" w:rsidR="00000000" w:rsidRPr="00000000">
        <w:rPr>
          <w:rFonts w:ascii="Arial" w:cs="Arial" w:eastAsia="Arial" w:hAnsi="Arial"/>
          <w:sz w:val="16"/>
          <w:szCs w:val="16"/>
          <w:rtl w:val="0"/>
        </w:rPr>
        <w:t xml:space="preserve"> para futura e eventual para aquisição de serviço de sondagem geotécnica tipo SPT, e Rotativa na área do Governo Estadual (Estado de Rondônia) para atender as necessidades deste DER-RO,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r w:rsidDel="00000000" w:rsidR="00000000" w:rsidRPr="00000000">
        <w:rPr>
          <w:rtl w:val="0"/>
        </w:rPr>
      </w:r>
    </w:p>
    <w:p w:rsidR="00000000" w:rsidDel="00000000" w:rsidP="00000000" w:rsidRDefault="00000000" w:rsidRPr="00000000" w14:paraId="0000000B">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0C">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 DO OBJETO </w:t>
      </w:r>
    </w:p>
    <w:p w:rsidR="00000000" w:rsidDel="00000000" w:rsidP="00000000" w:rsidRDefault="00000000" w:rsidRPr="00000000" w14:paraId="0000000D">
      <w:pPr>
        <w:ind w:right="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REGISTRO DE PREÇO para futura e eventual aquisição de serviço de sondagem geotécnica tipo SPT, e Rotativa na área do Governo Estadual (Estado de Rondônia) para atender as necessidades deste DER-RO.</w:t>
      </w:r>
    </w:p>
    <w:p w:rsidR="00000000" w:rsidDel="00000000" w:rsidP="00000000" w:rsidRDefault="00000000" w:rsidRPr="00000000" w14:paraId="0000000E">
      <w:pPr>
        <w:ind w:right="0"/>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F">
      <w:pPr>
        <w:ind w:right="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0">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w:t>
      </w:r>
      <w:r w:rsidDel="00000000" w:rsidR="00000000" w:rsidRPr="00000000">
        <w:rPr>
          <w:rFonts w:ascii="Arial" w:cs="Arial" w:eastAsia="Arial" w:hAnsi="Arial"/>
          <w:b w:val="1"/>
          <w:sz w:val="16"/>
          <w:szCs w:val="16"/>
          <w:rtl w:val="0"/>
        </w:rPr>
        <w:t xml:space="preserve"> 12 (doze) 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1">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2">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 </w:t>
      </w: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9">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A">
      <w:pPr>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0">
      <w:pPr>
        <w:jc w:val="both"/>
        <w:rPr>
          <w:rFonts w:ascii="Arial" w:cs="Arial" w:eastAsia="Arial" w:hAnsi="Arial"/>
          <w:b w:val="1"/>
          <w:sz w:val="16"/>
          <w:szCs w:val="16"/>
        </w:rPr>
      </w:pPr>
      <w:r w:rsidDel="00000000" w:rsidR="00000000" w:rsidRPr="00000000">
        <w:rPr>
          <w:rFonts w:ascii="Arial" w:cs="Arial" w:eastAsia="Arial" w:hAnsi="Arial"/>
          <w:b w:val="1"/>
          <w:color w:val="000000"/>
          <w:sz w:val="16"/>
          <w:szCs w:val="16"/>
          <w:rtl w:val="0"/>
        </w:rPr>
        <w:t xml:space="preserve">6. </w:t>
      </w:r>
      <w:r w:rsidDel="00000000" w:rsidR="00000000" w:rsidRPr="00000000">
        <w:rPr>
          <w:rFonts w:ascii="Arial" w:cs="Arial" w:eastAsia="Arial" w:hAnsi="Arial"/>
          <w:b w:val="1"/>
          <w:sz w:val="16"/>
          <w:szCs w:val="16"/>
          <w:rtl w:val="0"/>
        </w:rPr>
        <w:t xml:space="preserve">DO PRAZO E LOCAL DE ENTREGA</w:t>
      </w:r>
    </w:p>
    <w:p w:rsidR="00000000" w:rsidDel="00000000" w:rsidP="00000000" w:rsidRDefault="00000000" w:rsidRPr="00000000" w14:paraId="0000002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6.2.</w:t>
      </w:r>
      <w:r w:rsidDel="00000000" w:rsidR="00000000" w:rsidRPr="00000000">
        <w:rPr>
          <w:rFonts w:ascii="Arial" w:cs="Arial" w:eastAsia="Arial" w:hAnsi="Arial"/>
          <w:sz w:val="16"/>
          <w:szCs w:val="16"/>
          <w:rtl w:val="0"/>
        </w:rPr>
        <w:t xml:space="preserve">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6.3.</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DO</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PRAZO/CRONOGRAMA DE EXECUÇÃO</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color w:val="000000"/>
          <w:sz w:val="16"/>
          <w:szCs w:val="16"/>
          <w:rtl w:val="0"/>
        </w:rPr>
        <w:t xml:space="preserve"> </w:t>
      </w:r>
      <w:r w:rsidDel="00000000" w:rsidR="00000000" w:rsidRPr="00000000">
        <w:rPr>
          <w:rFonts w:ascii="Arial" w:cs="Arial" w:eastAsia="Arial" w:hAnsi="Arial"/>
          <w:sz w:val="16"/>
          <w:szCs w:val="16"/>
          <w:rtl w:val="0"/>
        </w:rPr>
        <w:t xml:space="preserve">Os serviços serão executados conforme prescrito na Especiﬁcação Técnica anexa a este Termo de Referência.</w:t>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60" w:firstLine="0"/>
        <w:jc w:val="left"/>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6.4.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 LOCAL DE ENTREGA: </w:t>
      </w:r>
      <w:r w:rsidDel="00000000" w:rsidR="00000000" w:rsidRPr="00000000">
        <w:rPr>
          <w:rFonts w:ascii="Arial" w:cs="Arial" w:eastAsia="Arial" w:hAnsi="Arial"/>
          <w:sz w:val="16"/>
          <w:szCs w:val="16"/>
          <w:rtl w:val="0"/>
        </w:rPr>
        <w:t xml:space="preserve">O relatório e demais anexos deverão ser entregues, no setor de protocolo do DER/RO, 5º. andar, Edificio Rio Jamari - Palácio Rio Madeira, Av. Farquar - Bairro Pedrinhas</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w:t>
      </w:r>
    </w:p>
    <w:p w:rsidR="00000000" w:rsidDel="00000000" w:rsidP="00000000" w:rsidRDefault="00000000" w:rsidRPr="00000000" w14:paraId="00000025">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26">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 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 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 A devolução da nota fiscal não aprovada, em hipótese alguma, servirá de pretexto para que a empresa detentora da Ata suspenda quaisquer fornecimentos.</w:t>
      </w:r>
    </w:p>
    <w:p w:rsidR="00000000" w:rsidDel="00000000" w:rsidP="00000000" w:rsidRDefault="00000000" w:rsidRPr="00000000" w14:paraId="0000002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 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9. DAS SANÇÕES </w:t>
      </w:r>
    </w:p>
    <w:p w:rsidR="00000000" w:rsidDel="00000000" w:rsidP="00000000" w:rsidRDefault="00000000" w:rsidRPr="00000000" w14:paraId="00000035">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  Comete infração administrativa nos termos da Lei nº 8.666, de 1993; Lei nº 10.520, de 2002, c/c o Decreto 18.340/2013 (Estadual) a Contratada que:</w:t>
      </w:r>
    </w:p>
    <w:p w:rsidR="00000000" w:rsidDel="00000000" w:rsidP="00000000" w:rsidRDefault="00000000" w:rsidRPr="00000000" w14:paraId="00000036">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91.1.  inexecutar total ou parcialmente qualquer das obrigações assumidas em decorrência da contratação;</w:t>
      </w:r>
    </w:p>
    <w:p w:rsidR="00000000" w:rsidDel="00000000" w:rsidP="00000000" w:rsidRDefault="00000000" w:rsidRPr="00000000" w14:paraId="00000037">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9.1.2.  ensejar o retardamento da execução do objeto;</w:t>
      </w:r>
    </w:p>
    <w:p w:rsidR="00000000" w:rsidDel="00000000" w:rsidP="00000000" w:rsidRDefault="00000000" w:rsidRPr="00000000" w14:paraId="00000038">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9.1.3.  falhar ou fraudar na execução do contrato;</w:t>
      </w:r>
    </w:p>
    <w:p w:rsidR="00000000" w:rsidDel="00000000" w:rsidP="00000000" w:rsidRDefault="00000000" w:rsidRPr="00000000" w14:paraId="00000039">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9.1.4.  comportar-se de modo inidôneo;</w:t>
      </w:r>
    </w:p>
    <w:p w:rsidR="00000000" w:rsidDel="00000000" w:rsidP="00000000" w:rsidRDefault="00000000" w:rsidRPr="00000000" w14:paraId="0000003A">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9.1.5.  cometer fraude ﬁscal;</w:t>
      </w:r>
    </w:p>
    <w:p w:rsidR="00000000" w:rsidDel="00000000" w:rsidP="00000000" w:rsidRDefault="00000000" w:rsidRPr="00000000" w14:paraId="0000003B">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9.2.  Pela inexecução total ou parcial do objeto deste contrato, a Administração pode aplicar à CONTRATADA as seguintes sanções:</w:t>
      </w:r>
    </w:p>
    <w:p w:rsidR="00000000" w:rsidDel="00000000" w:rsidP="00000000" w:rsidRDefault="00000000" w:rsidRPr="00000000" w14:paraId="0000003C">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9.2.1.  Advertência por escrito, quando do não cumprimento de quaisquer das obrigações contratuais consideradas faltas leves, assim entendidas aquelas que não acarretam prejuízos significativos para o serviço contratado;</w:t>
      </w:r>
    </w:p>
    <w:p w:rsidR="00000000" w:rsidDel="00000000" w:rsidP="00000000" w:rsidRDefault="00000000" w:rsidRPr="00000000" w14:paraId="0000003D">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9.2.2.  Multa de:</w:t>
      </w:r>
    </w:p>
    <w:p w:rsidR="00000000" w:rsidDel="00000000" w:rsidP="00000000" w:rsidRDefault="00000000" w:rsidRPr="00000000" w14:paraId="0000003E">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9.2.2.1.   0,1% (um décimo por cento) até 0,2% (dois décimos por cento) por dia sobre o valor adjudicado em caso de atraso na execução dos serviços, limitada a incidência a 15 (quinze) dias. Após o décimo quinto dia e a critério da Administração, no caso de execução com atraso, poderá ocorrer a não-aceitação do objeto, de forma a conﬁgurar, nessa hipótese, inexecução total da obrigação assumida, sem prejuízo da rescisão unilateral da avença;</w:t>
      </w:r>
    </w:p>
    <w:p w:rsidR="00000000" w:rsidDel="00000000" w:rsidP="00000000" w:rsidRDefault="00000000" w:rsidRPr="00000000" w14:paraId="0000003F">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9.2.2.2.          </w:t>
        <w:tab/>
        <w:t xml:space="preserve">0,1% (um décimo por cento) até 10% (dez por cento) sobre o valor adjudicado, em caso de atraso na execução do objeto, por período superior ao previsto no subitem acima ou de inexecução parcial da obrigação assumida;</w:t>
      </w:r>
    </w:p>
    <w:p w:rsidR="00000000" w:rsidDel="00000000" w:rsidP="00000000" w:rsidRDefault="00000000" w:rsidRPr="00000000" w14:paraId="00000040">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9.2.2.2.1.      0,1% (um décimo por cento) até 10% (dez por cento) sobre o valor adjudicado em caso de descumprimento das obrigações contratuais.</w:t>
      </w:r>
    </w:p>
    <w:p w:rsidR="00000000" w:rsidDel="00000000" w:rsidP="00000000" w:rsidRDefault="00000000" w:rsidRPr="00000000" w14:paraId="00000041">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9.2.2.2.2.    0,2% (dois décimos por cento) até 10% (dez por cento) sobre o valor adjudicado em caso atraso e/ou recusa de assinatura do contrato.</w:t>
      </w:r>
    </w:p>
    <w:p w:rsidR="00000000" w:rsidDel="00000000" w:rsidP="00000000" w:rsidRDefault="00000000" w:rsidRPr="00000000" w14:paraId="00000042">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9.2.2.3.   0,1% (um décimo por cento) até 15% (quinze por cento) sobre o valor adjudicado, em caso de inexecução total da obrigação 9</w:t>
      </w:r>
    </w:p>
    <w:p w:rsidR="00000000" w:rsidDel="00000000" w:rsidP="00000000" w:rsidRDefault="00000000" w:rsidRPr="00000000" w14:paraId="00000043">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.2.2.4.  0,2% a 3,2% por dia sobre o valor do contrato, conforme detalhamento constante das tabelas 1 e 2 abaixo; e</w:t>
      </w:r>
    </w:p>
    <w:p w:rsidR="00000000" w:rsidDel="00000000" w:rsidP="00000000" w:rsidRDefault="00000000" w:rsidRPr="00000000" w14:paraId="00000044">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9.2.2.5. 0,07% (sete centésimos por cento) do valor do contrato por dia de atraso na apresentação da garantia (seja para reforço ou por ocasião de prorrogação), observado o máximo de 2% (dois por cento. O atraso superior a 25 (vinte e cinco) dias autorizará a Administração CONTRATANTE a promover a rescisão do contrato;</w:t>
      </w:r>
    </w:p>
    <w:p w:rsidR="00000000" w:rsidDel="00000000" w:rsidP="00000000" w:rsidRDefault="00000000" w:rsidRPr="00000000" w14:paraId="00000045">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9.2.2.6.          </w:t>
        <w:tab/>
        <w:t xml:space="preserve">As penalidades de multa decorrentes de fatos diversos serão consideradas independentes entre si.</w:t>
      </w:r>
    </w:p>
    <w:p w:rsidR="00000000" w:rsidDel="00000000" w:rsidP="00000000" w:rsidRDefault="00000000" w:rsidRPr="00000000" w14:paraId="00000046">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9.2.3.  Suspensão de licitar e impedimento de contratar com o órgão, entidade ou unidade administrativa pela qual a Administração Pública opera e atua concretamente, pelo prazo de até dois anos.</w:t>
      </w:r>
    </w:p>
    <w:p w:rsidR="00000000" w:rsidDel="00000000" w:rsidP="00000000" w:rsidRDefault="00000000" w:rsidRPr="00000000" w14:paraId="00000047">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9.2.4.  Sanção de impedimento de licitar e contratar com órgãos e entidades da União e Estados, com o consequente descredenciamento no SICAF pelo prazo de até cinco anos.</w:t>
      </w:r>
    </w:p>
    <w:p w:rsidR="00000000" w:rsidDel="00000000" w:rsidP="00000000" w:rsidRDefault="00000000" w:rsidRPr="00000000" w14:paraId="00000048">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9.2.5.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000000" w:rsidDel="00000000" w:rsidP="00000000" w:rsidRDefault="00000000" w:rsidRPr="00000000" w14:paraId="00000049">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9.3.  </w:t>
        <w:tab/>
        <w:t xml:space="preserve">As sanções previstas nos subitens 9.2.1, 9.2.3, 9.2.4 e 9.2.5 poderão ser aplicadas à CONTRATADA juntamente com as de multa, descontando-a dos pagamentos a serem efetuados.</w:t>
      </w:r>
    </w:p>
    <w:p w:rsidR="00000000" w:rsidDel="00000000" w:rsidP="00000000" w:rsidRDefault="00000000" w:rsidRPr="00000000" w14:paraId="0000004A">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9.4.  </w:t>
        <w:tab/>
        <w:t xml:space="preserve">Para efeito de aplicação de multas, às infrações são atribuídos graus, de acordo com as tabelas 1 e 2:</w:t>
      </w:r>
    </w:p>
    <w:p w:rsidR="00000000" w:rsidDel="00000000" w:rsidP="00000000" w:rsidRDefault="00000000" w:rsidRPr="00000000" w14:paraId="0000004B">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Tabela 1:</w:t>
      </w:r>
    </w:p>
    <w:tbl>
      <w:tblPr>
        <w:tblStyle w:val="Table1"/>
        <w:tblW w:w="6820.0" w:type="dxa"/>
        <w:jc w:val="left"/>
        <w:tblInd w:w="10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950"/>
        <w:gridCol w:w="5870"/>
        <w:tblGridChange w:id="0">
          <w:tblGrid>
            <w:gridCol w:w="950"/>
            <w:gridCol w:w="5870"/>
          </w:tblGrid>
        </w:tblGridChange>
      </w:tblGrid>
      <w:tr>
        <w:trPr>
          <w:trHeight w:val="1025" w:hRule="atLeast"/>
        </w:trPr>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C">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4D">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GRAU</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E">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4F">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CORRESPONDÊNCIA</w:t>
            </w:r>
          </w:p>
        </w:tc>
      </w:tr>
      <w:tr>
        <w:trPr>
          <w:trHeight w:val="515" w:hRule="atLeast"/>
        </w:trPr>
        <w:tc>
          <w:tcPr>
            <w:tcMar>
              <w:top w:w="100.0" w:type="dxa"/>
              <w:left w:w="100.0" w:type="dxa"/>
              <w:bottom w:w="100.0" w:type="dxa"/>
              <w:right w:w="100.0" w:type="dxa"/>
            </w:tcMar>
            <w:vAlign w:val="top"/>
          </w:tcPr>
          <w:p w:rsidR="00000000" w:rsidDel="00000000" w:rsidP="00000000" w:rsidRDefault="00000000" w:rsidRPr="00000000" w14:paraId="00000050">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w:t>
            </w:r>
          </w:p>
        </w:tc>
        <w:tc>
          <w:tcPr>
            <w:tcMar>
              <w:top w:w="100.0" w:type="dxa"/>
              <w:left w:w="100.0" w:type="dxa"/>
              <w:bottom w:w="100.0" w:type="dxa"/>
              <w:right w:w="100.0" w:type="dxa"/>
            </w:tcMar>
            <w:vAlign w:val="top"/>
          </w:tcPr>
          <w:p w:rsidR="00000000" w:rsidDel="00000000" w:rsidP="00000000" w:rsidRDefault="00000000" w:rsidRPr="00000000" w14:paraId="00000051">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0,2% ao dia sobre o valor da parte inadimplida do contrato</w:t>
            </w:r>
          </w:p>
        </w:tc>
      </w:tr>
      <w:tr>
        <w:trPr>
          <w:trHeight w:val="515" w:hRule="atLeast"/>
        </w:trPr>
        <w:tc>
          <w:tcPr>
            <w:tcMar>
              <w:top w:w="100.0" w:type="dxa"/>
              <w:left w:w="100.0" w:type="dxa"/>
              <w:bottom w:w="100.0" w:type="dxa"/>
              <w:right w:w="100.0" w:type="dxa"/>
            </w:tcMar>
            <w:vAlign w:val="top"/>
          </w:tcPr>
          <w:p w:rsidR="00000000" w:rsidDel="00000000" w:rsidP="00000000" w:rsidRDefault="00000000" w:rsidRPr="00000000" w14:paraId="00000052">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w:t>
            </w:r>
          </w:p>
        </w:tc>
        <w:tc>
          <w:tcPr>
            <w:tcMar>
              <w:top w:w="100.0" w:type="dxa"/>
              <w:left w:w="100.0" w:type="dxa"/>
              <w:bottom w:w="100.0" w:type="dxa"/>
              <w:right w:w="100.0" w:type="dxa"/>
            </w:tcMar>
            <w:vAlign w:val="top"/>
          </w:tcPr>
          <w:p w:rsidR="00000000" w:rsidDel="00000000" w:rsidP="00000000" w:rsidRDefault="00000000" w:rsidRPr="00000000" w14:paraId="00000053">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0,4% ao dia sobre o valor da parte inadimplida do contrato</w:t>
            </w:r>
          </w:p>
        </w:tc>
      </w:tr>
      <w:tr>
        <w:trPr>
          <w:trHeight w:val="515" w:hRule="atLeast"/>
        </w:trPr>
        <w:tc>
          <w:tcPr>
            <w:tcMar>
              <w:top w:w="100.0" w:type="dxa"/>
              <w:left w:w="100.0" w:type="dxa"/>
              <w:bottom w:w="100.0" w:type="dxa"/>
              <w:right w:w="100.0" w:type="dxa"/>
            </w:tcMar>
            <w:vAlign w:val="top"/>
          </w:tcPr>
          <w:p w:rsidR="00000000" w:rsidDel="00000000" w:rsidP="00000000" w:rsidRDefault="00000000" w:rsidRPr="00000000" w14:paraId="00000054">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3</w:t>
            </w:r>
          </w:p>
        </w:tc>
        <w:tc>
          <w:tcPr>
            <w:tcMar>
              <w:top w:w="100.0" w:type="dxa"/>
              <w:left w:w="100.0" w:type="dxa"/>
              <w:bottom w:w="100.0" w:type="dxa"/>
              <w:right w:w="100.0" w:type="dxa"/>
            </w:tcMar>
            <w:vAlign w:val="top"/>
          </w:tcPr>
          <w:p w:rsidR="00000000" w:rsidDel="00000000" w:rsidP="00000000" w:rsidRDefault="00000000" w:rsidRPr="00000000" w14:paraId="00000055">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0,8% ao dia sobre o valor da parte inadimplida do contrato</w:t>
            </w:r>
          </w:p>
        </w:tc>
      </w:tr>
      <w:tr>
        <w:trPr>
          <w:trHeight w:val="515" w:hRule="atLeast"/>
        </w:trPr>
        <w:tc>
          <w:tcPr>
            <w:tcMar>
              <w:top w:w="100.0" w:type="dxa"/>
              <w:left w:w="100.0" w:type="dxa"/>
              <w:bottom w:w="100.0" w:type="dxa"/>
              <w:right w:w="100.0" w:type="dxa"/>
            </w:tcMar>
            <w:vAlign w:val="top"/>
          </w:tcPr>
          <w:p w:rsidR="00000000" w:rsidDel="00000000" w:rsidP="00000000" w:rsidRDefault="00000000" w:rsidRPr="00000000" w14:paraId="00000056">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4</w:t>
            </w:r>
          </w:p>
        </w:tc>
        <w:tc>
          <w:tcPr>
            <w:tcMar>
              <w:top w:w="100.0" w:type="dxa"/>
              <w:left w:w="100.0" w:type="dxa"/>
              <w:bottom w:w="100.0" w:type="dxa"/>
              <w:right w:w="100.0" w:type="dxa"/>
            </w:tcMar>
            <w:vAlign w:val="top"/>
          </w:tcPr>
          <w:p w:rsidR="00000000" w:rsidDel="00000000" w:rsidP="00000000" w:rsidRDefault="00000000" w:rsidRPr="00000000" w14:paraId="00000057">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1,6% ao dia sobre o valor da parte inadimplida do contrato</w:t>
            </w:r>
          </w:p>
        </w:tc>
      </w:tr>
      <w:tr>
        <w:trPr>
          <w:trHeight w:val="515" w:hRule="atLeast"/>
        </w:trPr>
        <w:tc>
          <w:tcPr>
            <w:tcMar>
              <w:top w:w="100.0" w:type="dxa"/>
              <w:left w:w="100.0" w:type="dxa"/>
              <w:bottom w:w="100.0" w:type="dxa"/>
              <w:right w:w="100.0" w:type="dxa"/>
            </w:tcMar>
            <w:vAlign w:val="top"/>
          </w:tcPr>
          <w:p w:rsidR="00000000" w:rsidDel="00000000" w:rsidP="00000000" w:rsidRDefault="00000000" w:rsidRPr="00000000" w14:paraId="00000058">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5</w:t>
            </w:r>
          </w:p>
        </w:tc>
        <w:tc>
          <w:tcPr>
            <w:tcMar>
              <w:top w:w="100.0" w:type="dxa"/>
              <w:left w:w="100.0" w:type="dxa"/>
              <w:bottom w:w="100.0" w:type="dxa"/>
              <w:right w:w="100.0" w:type="dxa"/>
            </w:tcMar>
            <w:vAlign w:val="top"/>
          </w:tcPr>
          <w:p w:rsidR="00000000" w:rsidDel="00000000" w:rsidP="00000000" w:rsidRDefault="00000000" w:rsidRPr="00000000" w14:paraId="00000059">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3,2% ao dia sobre o valor da parte inadimplida do contrato</w:t>
            </w:r>
          </w:p>
        </w:tc>
      </w:tr>
    </w:tbl>
    <w:p w:rsidR="00000000" w:rsidDel="00000000" w:rsidP="00000000" w:rsidRDefault="00000000" w:rsidRPr="00000000" w14:paraId="0000005A">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5B">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Tabela 2:</w:t>
      </w:r>
    </w:p>
    <w:tbl>
      <w:tblPr>
        <w:tblStyle w:val="Table2"/>
        <w:tblW w:w="9510.0" w:type="dxa"/>
        <w:jc w:val="left"/>
        <w:tblInd w:w="10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875"/>
        <w:gridCol w:w="7685"/>
        <w:gridCol w:w="950"/>
        <w:tblGridChange w:id="0">
          <w:tblGrid>
            <w:gridCol w:w="875"/>
            <w:gridCol w:w="7685"/>
            <w:gridCol w:w="950"/>
          </w:tblGrid>
        </w:tblGridChange>
      </w:tblGrid>
      <w:tr>
        <w:trPr>
          <w:trHeight w:val="515" w:hRule="atLeast"/>
        </w:trPr>
        <w:tc>
          <w:tcPr>
            <w:gridSpan w:val="3"/>
            <w:tcMar>
              <w:top w:w="100.0" w:type="dxa"/>
              <w:left w:w="100.0" w:type="dxa"/>
              <w:bottom w:w="100.0" w:type="dxa"/>
              <w:right w:w="100.0" w:type="dxa"/>
            </w:tcMar>
            <w:vAlign w:val="top"/>
          </w:tcPr>
          <w:p w:rsidR="00000000" w:rsidDel="00000000" w:rsidP="00000000" w:rsidRDefault="00000000" w:rsidRPr="00000000" w14:paraId="0000005C">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INFRAÇÃO</w:t>
            </w:r>
          </w:p>
        </w:tc>
      </w:tr>
      <w:tr>
        <w:trPr>
          <w:trHeight w:val="51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5F">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ITEM</w:t>
            </w:r>
          </w:p>
        </w:tc>
        <w:tc>
          <w:tcPr>
            <w:shd w:fill="auto" w:val="clear"/>
            <w:tcMar>
              <w:top w:w="100.0" w:type="dxa"/>
              <w:left w:w="100.0" w:type="dxa"/>
              <w:bottom w:w="100.0" w:type="dxa"/>
              <w:right w:w="100.0" w:type="dxa"/>
            </w:tcMar>
            <w:vAlign w:val="top"/>
          </w:tcPr>
          <w:p w:rsidR="00000000" w:rsidDel="00000000" w:rsidP="00000000" w:rsidRDefault="00000000" w:rsidRPr="00000000" w14:paraId="00000060">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DESCRIÇÃO</w:t>
            </w:r>
          </w:p>
        </w:tc>
        <w:tc>
          <w:tcPr>
            <w:shd w:fill="auto" w:val="clear"/>
            <w:tcMar>
              <w:top w:w="100.0" w:type="dxa"/>
              <w:left w:w="100.0" w:type="dxa"/>
              <w:bottom w:w="100.0" w:type="dxa"/>
              <w:right w:w="100.0" w:type="dxa"/>
            </w:tcMar>
            <w:vAlign w:val="top"/>
          </w:tcPr>
          <w:p w:rsidR="00000000" w:rsidDel="00000000" w:rsidP="00000000" w:rsidRDefault="00000000" w:rsidRPr="00000000" w14:paraId="00000061">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GRAU</w:t>
            </w:r>
          </w:p>
        </w:tc>
      </w:tr>
      <w:tr>
        <w:trPr>
          <w:trHeight w:val="102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2">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63">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64">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Permitir situação que crie a possibilidade de causar dano fisico, lesão corporal ou conseqüências letais,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5">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66">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5</w:t>
            </w:r>
          </w:p>
        </w:tc>
      </w:tr>
      <w:tr>
        <w:trPr>
          <w:trHeight w:val="102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7">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68">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69">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Suspender ou interromper, salvo motivo de força maior ou caso fortuito, os serviços contratuais por dia e por unidade de atendimento</w:t>
            </w:r>
          </w:p>
        </w:tc>
        <w:tc>
          <w:tcPr>
            <w:shd w:fill="auto" w:val="clear"/>
            <w:tcMar>
              <w:top w:w="100.0" w:type="dxa"/>
              <w:left w:w="100.0" w:type="dxa"/>
              <w:bottom w:w="100.0" w:type="dxa"/>
              <w:right w:w="100.0" w:type="dxa"/>
            </w:tcMar>
            <w:vAlign w:val="top"/>
          </w:tcPr>
          <w:p w:rsidR="00000000" w:rsidDel="00000000" w:rsidP="00000000" w:rsidRDefault="00000000" w:rsidRPr="00000000" w14:paraId="0000006A">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6B">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4</w:t>
            </w:r>
          </w:p>
        </w:tc>
      </w:tr>
      <w:tr>
        <w:trPr>
          <w:trHeight w:val="78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C">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6D">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Servir-se de funcionário sem qualiﬁcação para executar os serviços contratados, por empregado e por dia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E">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3</w:t>
            </w:r>
          </w:p>
        </w:tc>
      </w:tr>
      <w:tr>
        <w:trPr>
          <w:trHeight w:val="78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F">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Recusar-se a executar serviço determinado pela ﬁscalização, por serviço e por dia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1">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2</w:t>
            </w:r>
          </w:p>
        </w:tc>
      </w:tr>
      <w:tr>
        <w:trPr>
          <w:trHeight w:val="51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2">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Atrasar ou recursar a assinar o contrato</w:t>
            </w:r>
          </w:p>
        </w:tc>
        <w:tc>
          <w:tcPr>
            <w:shd w:fill="auto" w:val="clear"/>
            <w:tcMar>
              <w:top w:w="100.0" w:type="dxa"/>
              <w:left w:w="100.0" w:type="dxa"/>
              <w:bottom w:w="100.0" w:type="dxa"/>
              <w:right w:w="100.0" w:type="dxa"/>
            </w:tcMar>
            <w:vAlign w:val="top"/>
          </w:tcPr>
          <w:p w:rsidR="00000000" w:rsidDel="00000000" w:rsidP="00000000" w:rsidRDefault="00000000" w:rsidRPr="00000000" w14:paraId="00000074">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w:t>
            </w:r>
          </w:p>
        </w:tc>
      </w:tr>
      <w:tr>
        <w:trPr>
          <w:trHeight w:val="51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5">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76">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Descumprimento das obrigações contratuais</w:t>
            </w:r>
          </w:p>
        </w:tc>
        <w:tc>
          <w:tcPr>
            <w:shd w:fill="auto" w:val="clear"/>
            <w:tcMar>
              <w:top w:w="100.0" w:type="dxa"/>
              <w:left w:w="100.0" w:type="dxa"/>
              <w:bottom w:w="100.0" w:type="dxa"/>
              <w:right w:w="100.0" w:type="dxa"/>
            </w:tcMar>
            <w:vAlign w:val="top"/>
          </w:tcPr>
          <w:p w:rsidR="00000000" w:rsidDel="00000000" w:rsidP="00000000" w:rsidRDefault="00000000" w:rsidRPr="00000000" w14:paraId="00000077">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w:t>
            </w:r>
          </w:p>
        </w:tc>
      </w:tr>
      <w:tr>
        <w:trPr>
          <w:trHeight w:val="515" w:hRule="atLeast"/>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78">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Para os itens a seguir, deixar de:</w:t>
            </w:r>
          </w:p>
        </w:tc>
      </w:tr>
      <w:tr>
        <w:trPr>
          <w:trHeight w:val="78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B">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7C">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Cumprir determinação formal ou instrução complementar do órgão ﬁscalizador,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D">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2</w:t>
            </w:r>
          </w:p>
        </w:tc>
      </w:tr>
      <w:tr>
        <w:trPr>
          <w:trHeight w:val="78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E">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7F">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Substituir empregado alocado que não atenda às necessidades do serviço, por funcionário e por dia;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80">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w:t>
            </w:r>
          </w:p>
        </w:tc>
      </w:tr>
      <w:tr>
        <w:trPr>
          <w:trHeight w:val="10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81">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82">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83">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Cumprir quaisquer dos itens do Edital e seus Anexos não previstos nesta tabela de multas, após reincidência formalmente notiﬁcada pelo órgão ﬁscalizador, por item e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84">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85">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3</w:t>
            </w:r>
          </w:p>
        </w:tc>
      </w:tr>
      <w:tr>
        <w:trPr>
          <w:trHeight w:val="78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86">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87">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Indicar e manter durante a execução do contrato os prepostos previstos no edital/contrato;</w:t>
            </w:r>
          </w:p>
        </w:tc>
        <w:tc>
          <w:tcPr>
            <w:shd w:fill="auto" w:val="clear"/>
            <w:tcMar>
              <w:top w:w="100.0" w:type="dxa"/>
              <w:left w:w="100.0" w:type="dxa"/>
              <w:bottom w:w="100.0" w:type="dxa"/>
              <w:right w:w="100.0" w:type="dxa"/>
            </w:tcMar>
            <w:vAlign w:val="top"/>
          </w:tcPr>
          <w:p w:rsidR="00000000" w:rsidDel="00000000" w:rsidP="00000000" w:rsidRDefault="00000000" w:rsidRPr="00000000" w14:paraId="00000088">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w:t>
            </w:r>
          </w:p>
        </w:tc>
      </w:tr>
      <w:tr>
        <w:trPr>
          <w:trHeight w:val="78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89">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08A">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Providenciar treinamento para seus funcionários conforme previsto na relação de obrigações da CONTRATADA</w:t>
            </w:r>
          </w:p>
        </w:tc>
        <w:tc>
          <w:tcPr>
            <w:shd w:fill="auto" w:val="clear"/>
            <w:tcMar>
              <w:top w:w="100.0" w:type="dxa"/>
              <w:left w:w="100.0" w:type="dxa"/>
              <w:bottom w:w="100.0" w:type="dxa"/>
              <w:right w:w="100.0" w:type="dxa"/>
            </w:tcMar>
            <w:vAlign w:val="top"/>
          </w:tcPr>
          <w:p w:rsidR="00000000" w:rsidDel="00000000" w:rsidP="00000000" w:rsidRDefault="00000000" w:rsidRPr="00000000" w14:paraId="0000008B">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w:t>
            </w:r>
          </w:p>
        </w:tc>
      </w:tr>
    </w:tbl>
    <w:p w:rsidR="00000000" w:rsidDel="00000000" w:rsidP="00000000" w:rsidRDefault="00000000" w:rsidRPr="00000000" w14:paraId="0000008C">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8D">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9.5.  </w:t>
        <w:tab/>
        <w:t xml:space="preserve">Também fica sujeita às penalidades do art. 87, III e IV da Lei nº 8.666, de 1993, a Contratada que:</w:t>
      </w:r>
    </w:p>
    <w:p w:rsidR="00000000" w:rsidDel="00000000" w:rsidP="00000000" w:rsidRDefault="00000000" w:rsidRPr="00000000" w14:paraId="0000008E">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9.5.1.  tenha sofrido condenação definitiva por praticar, por meio dolosos, fraude fiscal no recolhimento de quaisquer tributos;</w:t>
      </w:r>
    </w:p>
    <w:p w:rsidR="00000000" w:rsidDel="00000000" w:rsidP="00000000" w:rsidRDefault="00000000" w:rsidRPr="00000000" w14:paraId="0000008F">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9.5.2.  tenha praticado atos ilícitos visando a frustrar os objetivos da licitação;</w:t>
      </w:r>
    </w:p>
    <w:p w:rsidR="00000000" w:rsidDel="00000000" w:rsidP="00000000" w:rsidRDefault="00000000" w:rsidRPr="00000000" w14:paraId="00000090">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9.5.3.  demonstre não possuir idoneidade para contratar com a Administração em virtude de atos ilícitos praticados.</w:t>
      </w:r>
    </w:p>
    <w:p w:rsidR="00000000" w:rsidDel="00000000" w:rsidP="00000000" w:rsidRDefault="00000000" w:rsidRPr="00000000" w14:paraId="00000091">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9.6.  A aplicação de qualquer das penalidades previstas realizar-se-á em processo administrativo que assegurará o contraditório e a ampla defesa à Contratada, observando-se o procedimento previsto na Lei nº 8.666, de 1993, e subsidiariamente a Lei nº 9.784, de 1999.</w:t>
      </w:r>
    </w:p>
    <w:p w:rsidR="00000000" w:rsidDel="00000000" w:rsidP="00000000" w:rsidRDefault="00000000" w:rsidRPr="00000000" w14:paraId="00000092">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9.7.  As multas devidas e/ou prejuízos causados à Contratante serão deduzidos dos valores a serem pagos, ou recolhidos em favor do Estado, ou ainda, quando for o caso, serão inscritos na Dívida Ativa e cobrados judicialmente.</w:t>
      </w:r>
    </w:p>
    <w:p w:rsidR="00000000" w:rsidDel="00000000" w:rsidP="00000000" w:rsidRDefault="00000000" w:rsidRPr="00000000" w14:paraId="00000093">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9.7.1.  Caso a Contratante determine, a multa deverá ser recolhida no prazo máximo de 30 (trinta) dias, a contar da data do recebimento da comunicação enviada pela autoridade competente.</w:t>
      </w:r>
    </w:p>
    <w:p w:rsidR="00000000" w:rsidDel="00000000" w:rsidP="00000000" w:rsidRDefault="00000000" w:rsidRPr="00000000" w14:paraId="00000094">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sz w:val="16"/>
          <w:szCs w:val="16"/>
          <w:rtl w:val="0"/>
        </w:rPr>
        <w:t xml:space="preserve">9.8.  A autoridade competente, na aplicação das sanções, levará em consideração a gravidade da conduta do infrator, o caráter educativo da pena, bem como o dano causado à Administração, observado o princípio da proporcionalidade.</w:t>
      </w:r>
      <w:r w:rsidDel="00000000" w:rsidR="00000000" w:rsidRPr="00000000">
        <w:rPr>
          <w:rtl w:val="0"/>
        </w:rPr>
      </w:r>
    </w:p>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p>
    <w:p w:rsidR="00000000" w:rsidDel="00000000" w:rsidP="00000000" w:rsidRDefault="00000000" w:rsidRPr="00000000" w14:paraId="00000096">
      <w:pPr>
        <w:jc w:val="both"/>
        <w:rPr>
          <w:rFonts w:ascii="Arial" w:cs="Arial" w:eastAsia="Arial" w:hAnsi="Arial"/>
          <w:sz w:val="16"/>
          <w:szCs w:val="16"/>
        </w:rPr>
      </w:pPr>
      <w:r w:rsidDel="00000000" w:rsidR="00000000" w:rsidRPr="00000000">
        <w:rPr>
          <w:rFonts w:ascii="Arial" w:cs="Arial" w:eastAsia="Arial" w:hAnsi="Arial"/>
          <w:b w:val="1"/>
          <w:color w:val="000000"/>
          <w:sz w:val="16"/>
          <w:szCs w:val="16"/>
          <w:rtl w:val="0"/>
        </w:rPr>
        <w:t xml:space="preserve">10. DA UTILIZAÇÃO DA ATA </w:t>
      </w:r>
      <w:r w:rsidDel="00000000" w:rsidR="00000000" w:rsidRPr="00000000">
        <w:rPr>
          <w:rtl w:val="0"/>
        </w:rPr>
      </w:r>
    </w:p>
    <w:p w:rsidR="00000000" w:rsidDel="00000000" w:rsidP="00000000" w:rsidRDefault="00000000" w:rsidRPr="00000000" w14:paraId="00000097">
      <w:pPr>
        <w:ind w:right="47"/>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10.1.</w:t>
      </w:r>
      <w:r w:rsidDel="00000000" w:rsidR="00000000" w:rsidRPr="00000000">
        <w:rPr>
          <w:rFonts w:ascii="Arial" w:cs="Arial" w:eastAsia="Arial" w:hAnsi="Arial"/>
          <w:sz w:val="16"/>
          <w:szCs w:val="16"/>
          <w:rtl w:val="0"/>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r w:rsidDel="00000000" w:rsidR="00000000" w:rsidRPr="00000000">
        <w:rPr>
          <w:rtl w:val="0"/>
        </w:rPr>
      </w:r>
    </w:p>
    <w:p w:rsidR="00000000" w:rsidDel="00000000" w:rsidP="00000000" w:rsidRDefault="00000000" w:rsidRPr="00000000" w14:paraId="00000098">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10.2.</w:t>
      </w:r>
      <w:r w:rsidDel="00000000" w:rsidR="00000000" w:rsidRPr="00000000">
        <w:rPr>
          <w:rFonts w:ascii="Arial" w:cs="Arial" w:eastAsia="Arial" w:hAnsi="Arial"/>
          <w:color w:val="000000"/>
          <w:sz w:val="16"/>
          <w:szCs w:val="16"/>
          <w:rtl w:val="0"/>
        </w:rPr>
        <w:t xml:space="preserve"> É facultada aos órgãos s ou entidades municipais, distritais ou estaduais a adesão a ata de registro de preços da Administração Pública Estadual.</w:t>
      </w:r>
    </w:p>
    <w:p w:rsidR="00000000" w:rsidDel="00000000" w:rsidP="00000000" w:rsidRDefault="00000000" w:rsidRPr="00000000" w14:paraId="0000009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000000" w:rsidDel="00000000" w:rsidP="00000000" w:rsidRDefault="00000000" w:rsidRPr="00000000" w14:paraId="0000009A">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9B">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9C">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w:t>
      </w:r>
      <w:r w:rsidDel="00000000" w:rsidR="00000000" w:rsidRPr="00000000">
        <w:rPr>
          <w:rFonts w:ascii="Arial" w:cs="Arial" w:eastAsia="Arial" w:hAnsi="Arial"/>
          <w:color w:val="000000"/>
          <w:sz w:val="16"/>
          <w:szCs w:val="16"/>
          <w:rtl w:val="0"/>
        </w:rPr>
        <w:t xml:space="preserve"> Caberá ao órgão que se utilizar da ata, verificar a vantagem econômica da adesão a este Registro de Preço.</w:t>
      </w:r>
    </w:p>
    <w:p w:rsidR="00000000" w:rsidDel="00000000" w:rsidP="00000000" w:rsidRDefault="00000000" w:rsidRPr="00000000" w14:paraId="0000009D">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9E">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9F">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A0">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A1">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A2">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A3">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 o órgão gerenciador poderá:</w:t>
      </w:r>
    </w:p>
    <w:p w:rsidR="00000000" w:rsidDel="00000000" w:rsidP="00000000" w:rsidRDefault="00000000" w:rsidRPr="00000000" w14:paraId="000000A4">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A5">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Convocar os demais fornecedores para assegurar igual oportunidade de negociação;</w:t>
      </w:r>
    </w:p>
    <w:p w:rsidR="00000000" w:rsidDel="00000000" w:rsidP="00000000" w:rsidRDefault="00000000" w:rsidRPr="00000000" w14:paraId="000000A6">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A7">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A8">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A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A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 Dispor-se a toda e qualquer fiscalização, no tocante ao fornecimento do produto, assim como ao cumprimento das obrigações previstas na ATA;</w:t>
      </w:r>
    </w:p>
    <w:p w:rsidR="00000000" w:rsidDel="00000000" w:rsidP="00000000" w:rsidRDefault="00000000" w:rsidRPr="00000000" w14:paraId="000000A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A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A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A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Respeitar e fazer cumprir a legislação de segurança e saúde no trabalho, previstas nas normas regulamentadoras pertinentes;</w:t>
      </w:r>
    </w:p>
    <w:p w:rsidR="00000000" w:rsidDel="00000000" w:rsidP="00000000" w:rsidRDefault="00000000" w:rsidRPr="00000000" w14:paraId="000000A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B0">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 Indenizar terceiros e/ou ao</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B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solidariedade ou responsabilidade;</w:t>
      </w:r>
    </w:p>
    <w:p w:rsidR="00000000" w:rsidDel="00000000" w:rsidP="00000000" w:rsidRDefault="00000000" w:rsidRPr="00000000" w14:paraId="000000B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 Todos os impostos e taxas que forem devidos em decorrência das contratações do objeto do Edital correrão por conta exclusiva da contratada;</w:t>
      </w:r>
    </w:p>
    <w:p w:rsidR="00000000" w:rsidDel="00000000" w:rsidP="00000000" w:rsidRDefault="00000000" w:rsidRPr="00000000" w14:paraId="000000B3">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B4">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B5">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 </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B6">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 Rejeitar, no todo ou em parte, os objetos desta Ata entregues em desacordo com as obrigações assumidas pelo fornecedor;</w:t>
      </w:r>
    </w:p>
    <w:p w:rsidR="00000000" w:rsidDel="00000000" w:rsidP="00000000" w:rsidRDefault="00000000" w:rsidRPr="00000000" w14:paraId="000000B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 Notificar a CONTRATADA de qualquer irregularidade encontrada no fornecimento dos objetos desta Ata;</w:t>
      </w:r>
    </w:p>
    <w:p w:rsidR="00000000" w:rsidDel="00000000" w:rsidP="00000000" w:rsidRDefault="00000000" w:rsidRPr="00000000" w14:paraId="000000B8">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B9">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BA">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 sob-hipótese alguma, pagamento antecipado.</w:t>
      </w:r>
    </w:p>
    <w:p w:rsidR="00000000" w:rsidDel="00000000" w:rsidP="00000000" w:rsidRDefault="00000000" w:rsidRPr="00000000" w14:paraId="000000BB">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BC">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DOS ÓRGÃOS PARTICIPANTES:</w:t>
      </w:r>
    </w:p>
    <w:p w:rsidR="00000000" w:rsidDel="00000000" w:rsidP="00000000" w:rsidRDefault="00000000" w:rsidRPr="00000000" w14:paraId="000000BD">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É participante desta ata o seguinte órgão pertencente à Administração Pública do Estado de Rondônia:</w:t>
      </w:r>
    </w:p>
    <w:p w:rsidR="00000000" w:rsidDel="00000000" w:rsidP="00000000" w:rsidRDefault="00000000" w:rsidRPr="00000000" w14:paraId="000000BE">
      <w:pPr>
        <w:ind w:right="6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DER</w:t>
      </w:r>
      <w:r w:rsidDel="00000000" w:rsidR="00000000" w:rsidRPr="00000000">
        <w:rPr>
          <w:rFonts w:ascii="Arial" w:cs="Arial" w:eastAsia="Arial" w:hAnsi="Arial"/>
          <w:sz w:val="16"/>
          <w:szCs w:val="16"/>
          <w:rtl w:val="0"/>
        </w:rPr>
        <w:t xml:space="preserve"> – Departamento de Estradas, Rodagens, Infraestrutura e Serviços Públicos </w:t>
      </w:r>
    </w:p>
    <w:p w:rsidR="00000000" w:rsidDel="00000000" w:rsidP="00000000" w:rsidRDefault="00000000" w:rsidRPr="00000000" w14:paraId="000000BF">
      <w:pPr>
        <w:tabs>
          <w:tab w:val="left" w:pos="3544"/>
        </w:tabs>
        <w:rPr>
          <w:rFonts w:ascii="Arial" w:cs="Arial" w:eastAsia="Arial" w:hAnsi="Arial"/>
          <w:sz w:val="16"/>
          <w:szCs w:val="16"/>
        </w:rPr>
      </w:pPr>
      <w:r w:rsidDel="00000000" w:rsidR="00000000" w:rsidRPr="00000000">
        <w:rPr>
          <w:rFonts w:ascii="Arial" w:cs="Arial" w:eastAsia="Arial" w:hAnsi="Arial"/>
          <w:sz w:val="16"/>
          <w:szCs w:val="16"/>
          <w:rtl w:val="0"/>
        </w:rPr>
        <w:tab/>
      </w:r>
    </w:p>
    <w:p w:rsidR="00000000" w:rsidDel="00000000" w:rsidP="00000000" w:rsidRDefault="00000000" w:rsidRPr="00000000" w14:paraId="000000C0">
      <w:pPr>
        <w:jc w:val="both"/>
        <w:rPr>
          <w:rFonts w:ascii="Arial" w:cs="Arial" w:eastAsia="Arial" w:hAnsi="Arial"/>
          <w:b w:val="1"/>
          <w:sz w:val="16"/>
          <w:szCs w:val="16"/>
        </w:rPr>
      </w:pPr>
      <w:bookmarkStart w:colFirst="0" w:colLast="0" w:name="_heading=h.30j0zll" w:id="1"/>
      <w:bookmarkEnd w:id="1"/>
      <w:r w:rsidDel="00000000" w:rsidR="00000000" w:rsidRPr="00000000">
        <w:rPr>
          <w:rtl w:val="0"/>
        </w:rPr>
      </w:r>
    </w:p>
    <w:p w:rsidR="00000000" w:rsidDel="00000000" w:rsidP="00000000" w:rsidRDefault="00000000" w:rsidRPr="00000000" w14:paraId="000000C1">
      <w:pPr>
        <w:jc w:val="both"/>
        <w:rPr>
          <w:rFonts w:ascii="Arial" w:cs="Arial" w:eastAsia="Arial" w:hAnsi="Arial"/>
          <w:b w:val="1"/>
          <w:sz w:val="16"/>
          <w:szCs w:val="16"/>
        </w:rPr>
      </w:pPr>
      <w:bookmarkStart w:colFirst="0" w:colLast="0" w:name="_heading=h.i0d3z7golukf" w:id="2"/>
      <w:bookmarkEnd w:id="2"/>
      <w:r w:rsidDel="00000000" w:rsidR="00000000" w:rsidRPr="00000000">
        <w:rPr>
          <w:rtl w:val="0"/>
        </w:rPr>
      </w:r>
    </w:p>
    <w:p w:rsidR="00000000" w:rsidDel="00000000" w:rsidP="00000000" w:rsidRDefault="00000000" w:rsidRPr="00000000" w14:paraId="000000C2">
      <w:pPr>
        <w:jc w:val="both"/>
        <w:rPr>
          <w:rFonts w:ascii="Arial" w:cs="Arial" w:eastAsia="Arial" w:hAnsi="Arial"/>
          <w:b w:val="1"/>
          <w:color w:val="000000"/>
          <w:sz w:val="16"/>
          <w:szCs w:val="16"/>
        </w:rPr>
      </w:pPr>
      <w:bookmarkStart w:colFirst="0" w:colLast="0" w:name="_heading=h.g91spmuelb9f" w:id="3"/>
      <w:bookmarkEnd w:id="3"/>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C3">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C4">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 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C5">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C6">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C7">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C8">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Fica eleito o foro do Município de Porto Velho/RO para dirimir as eventuais controvérsias decorrentes do presente ajuste.</w:t>
      </w:r>
    </w:p>
    <w:p w:rsidR="00000000" w:rsidDel="00000000" w:rsidP="00000000" w:rsidRDefault="00000000" w:rsidRPr="00000000" w14:paraId="000000C9">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CA">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CB">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CC">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t xml:space="preserve">MARCIA CARVALHO GUEDES</w:t>
      </w:r>
    </w:p>
    <w:p w:rsidR="00000000" w:rsidDel="00000000" w:rsidP="00000000" w:rsidRDefault="00000000" w:rsidRPr="00000000" w14:paraId="000000CD">
      <w:pPr>
        <w:ind w:right="47"/>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w:t>
      </w:r>
    </w:p>
    <w:p w:rsidR="00000000" w:rsidDel="00000000" w:rsidP="00000000" w:rsidRDefault="00000000" w:rsidRPr="00000000" w14:paraId="000000CE">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CF">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D0">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D1">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D2">
      <w:pPr>
        <w:ind w:right="47"/>
        <w:jc w:val="both"/>
        <w:rPr>
          <w:rFonts w:ascii="Arial" w:cs="Arial" w:eastAsia="Arial" w:hAnsi="Arial"/>
          <w:b w:val="1"/>
          <w:color w:val="000000"/>
          <w:sz w:val="10"/>
          <w:szCs w:val="10"/>
        </w:rPr>
      </w:pPr>
      <w:r w:rsidDel="00000000" w:rsidR="00000000" w:rsidRPr="00000000">
        <w:rPr>
          <w:rtl w:val="0"/>
        </w:rPr>
      </w:r>
    </w:p>
    <w:p w:rsidR="00000000" w:rsidDel="00000000" w:rsidP="00000000" w:rsidRDefault="00000000" w:rsidRPr="00000000" w14:paraId="000000D3">
      <w:pPr>
        <w:ind w:right="47"/>
        <w:jc w:val="both"/>
        <w:rPr>
          <w:rFonts w:ascii="Arial" w:cs="Arial" w:eastAsia="Arial" w:hAnsi="Arial"/>
          <w:b w:val="1"/>
          <w:color w:val="000000"/>
          <w:sz w:val="10"/>
          <w:szCs w:val="10"/>
        </w:rPr>
      </w:pPr>
      <w:r w:rsidDel="00000000" w:rsidR="00000000" w:rsidRPr="00000000">
        <w:rPr>
          <w:rFonts w:ascii="Arial" w:cs="Arial" w:eastAsia="Arial" w:hAnsi="Arial"/>
          <w:b w:val="1"/>
          <w:color w:val="000000"/>
          <w:sz w:val="10"/>
          <w:szCs w:val="10"/>
          <w:rtl w:val="0"/>
        </w:rPr>
        <w:t xml:space="preserve">F</w:t>
      </w:r>
      <w:r w:rsidDel="00000000" w:rsidR="00000000" w:rsidRPr="00000000">
        <w:rPr>
          <w:rFonts w:ascii="Arial" w:cs="Arial" w:eastAsia="Arial" w:hAnsi="Arial"/>
          <w:b w:val="1"/>
          <w:sz w:val="10"/>
          <w:szCs w:val="10"/>
          <w:rtl w:val="0"/>
        </w:rPr>
        <w:t xml:space="preserve">RA</w:t>
      </w:r>
      <w:r w:rsidDel="00000000" w:rsidR="00000000" w:rsidRPr="00000000">
        <w:rPr>
          <w:rFonts w:ascii="Arial" w:cs="Arial" w:eastAsia="Arial" w:hAnsi="Arial"/>
          <w:b w:val="1"/>
          <w:color w:val="000000"/>
          <w:sz w:val="10"/>
          <w:szCs w:val="10"/>
          <w:rtl w:val="0"/>
        </w:rPr>
        <w:t xml:space="preserve">/SRP</w:t>
      </w:r>
    </w:p>
    <w:sectPr>
      <w:headerReference r:id="rId8" w:type="default"/>
      <w:pgSz w:h="16840" w:w="11907"/>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uiPriority w:val="1"/>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pPr>
      <w:spacing w:after="0" w:line="240" w:lineRule="auto"/>
    </w:pPr>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link w:val="PargrafodaLista"/>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pPr>
      <w:spacing w:after="0" w:line="240" w:lineRule="auto"/>
    </w:pPr>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pPr>
      <w:spacing w:after="0" w:line="240" w:lineRule="auto"/>
    </w:pPr>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Textodenotaderodap">
    <w:name w:val="footnote text"/>
    <w:basedOn w:val="Normal"/>
    <w:link w:val="TextodenotaderodapChar"/>
    <w:semiHidden w:val="1"/>
    <w:rsid w:val="002876A8"/>
  </w:style>
  <w:style w:type="character" w:styleId="TextodenotaderodapChar" w:customStyle="1">
    <w:name w:val="Texto de nota de rodapé Char"/>
    <w:basedOn w:val="Fontepargpadro"/>
    <w:link w:val="Textodenotaderodap"/>
    <w:semiHidden w:val="1"/>
    <w:rsid w:val="002876A8"/>
    <w:rPr>
      <w:sz w:val="20"/>
      <w:szCs w:val="20"/>
    </w:rPr>
  </w:style>
  <w:style w:type="paragraph" w:styleId="newtextojustificado" w:customStyle="1">
    <w:name w:val="new_texto_justificado"/>
    <w:basedOn w:val="Normal"/>
    <w:rsid w:val="002876A8"/>
    <w:pPr>
      <w:spacing w:after="100" w:afterAutospacing="1" w:before="100" w:beforeAutospacing="1"/>
    </w:pPr>
    <w:rPr>
      <w:sz w:val="24"/>
      <w:szCs w:val="24"/>
      <w:lang w:eastAsia="pt-PT" w:val="pt-PT"/>
    </w:rPr>
  </w:style>
  <w:style w:type="paragraph" w:styleId="TableParagraph" w:customStyle="1">
    <w:name w:val="Table Paragraph"/>
    <w:basedOn w:val="Normal"/>
    <w:uiPriority w:val="1"/>
    <w:qFormat w:val="1"/>
    <w:rsid w:val="00DF79A2"/>
    <w:pPr>
      <w:widowControl w:val="0"/>
      <w:autoSpaceDE w:val="0"/>
      <w:autoSpaceDN w:val="0"/>
    </w:pPr>
    <w:rPr>
      <w:rFonts w:ascii="Calibri" w:cs="Calibri" w:eastAsia="Calibri" w:hAnsi="Calibri"/>
      <w:sz w:val="22"/>
      <w:szCs w:val="22"/>
      <w:lang w:bidi="pt-PT" w:eastAsia="pt-PT" w:val="pt-PT"/>
    </w:rPr>
  </w:style>
  <w:style w:type="paragraph" w:styleId="tabelatextoalinhadoesquerda" w:customStyle="1">
    <w:name w:val="tabela_texto_alinhado_esquerda"/>
    <w:basedOn w:val="Normal"/>
    <w:rsid w:val="00B74967"/>
    <w:pPr>
      <w:spacing w:after="100" w:afterAutospacing="1" w:before="100" w:beforeAutospacing="1"/>
    </w:pPr>
    <w:rPr>
      <w:sz w:val="24"/>
      <w:szCs w:val="24"/>
    </w:rPr>
  </w:style>
  <w:style w:type="paragraph" w:styleId="textocentralizado" w:customStyle="1">
    <w:name w:val="texto_centralizado"/>
    <w:basedOn w:val="Normal"/>
    <w:rsid w:val="007043C8"/>
    <w:pPr>
      <w:spacing w:after="100" w:afterAutospacing="1" w:before="100" w:beforeAutospacing="1"/>
    </w:pPr>
    <w:rPr>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zSbdOui9w8oRe07+0K7QwiBIT4A==">AMUW2mV8bJQ+NWwOzLmebZqkcdTZOMQ7YOXS0Bw1uWRU2+UJBcG26C5/v6Mu1pfohkllo8eTeZaXV6y6NOQiasj2S1W8bO+Duwgr9crp7DRAutzFFotnkuDfvz56ITeBuMA9tkPX9ra7CYxam/I4UMbwJHghdrt2976v+5XZH05OVudrAFsGynhPfVJpMHHgmlHLXxoufsOV</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2020-01-29T15:39:00Z</dcterms:created>
  <dc:creator>SESAU</dc:creator>
</cp:coreProperties>
</file>