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155/2020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055/2020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0043.364643/2019-09</w:t>
      </w:r>
    </w:p>
    <w:p w:rsidR="00000000" w:rsidDel="00000000" w:rsidP="00000000" w:rsidRDefault="00000000" w:rsidRPr="00000000" w14:paraId="0000000A">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para eventual e futura  aquisição de aparelhos de telefone IP, para a Superintendência de Estado para Resultados - EpR, Secretaria de Estado de Justiça - SEJUS, Superintendência Estadual de Gestão de Pessoas - SEGEP, Secretaria de Estado da Educação - SEDUC, e, Secretaria de Estado de Desenvolvimento Ambiental - SEDAM,</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eventual e futura  aquisição de aparelhos de telefone IP, para a Superintendência de Estado para Resultados - EpR, Secretaria de Estado de Justiça - SEJUS, Superintendência Estadual de Gestão de Pessoas - SEGEP, Secretaria de Estado da Educação - SEDUC, e, Secretaria de Estado de Desenvolvimento Ambiental - SEDAM.</w:t>
      </w:r>
    </w:p>
    <w:p w:rsidR="00000000" w:rsidDel="00000000" w:rsidP="00000000" w:rsidRDefault="00000000" w:rsidRPr="00000000" w14:paraId="0000000F">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O prazo de entrega do objeto desta Ata, será de até 30 (trinta) dias, contados da data do recebimento da Nota de Empenho ou assinatura do Contrato, o que ocorrer primeiro. Este prazo poderá ser dilatado em casos excepcionais, mediante apresentação de justificativa, com concordância da Administração. </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 </w:t>
      </w:r>
      <w:r w:rsidDel="00000000" w:rsidR="00000000" w:rsidRPr="00000000">
        <w:rPr>
          <w:rFonts w:ascii="Arial" w:cs="Arial" w:eastAsia="Arial" w:hAnsi="Arial"/>
          <w:sz w:val="16"/>
          <w:szCs w:val="16"/>
          <w:rtl w:val="0"/>
        </w:rPr>
        <w:t xml:space="preserve">O objeto será entregue no seguinte endereço: Almoxarifado Central do Governo do Estado de Rondônia – Rua: Antônio Lacerda; n°. 4168; Bairro: Setor Industrial, na cidade de Porto Velho – RO, no horário das 7:30 às 12:00 horas.</w:t>
      </w:r>
    </w:p>
    <w:p w:rsidR="00000000" w:rsidDel="00000000" w:rsidP="00000000" w:rsidRDefault="00000000" w:rsidRPr="00000000" w14:paraId="00000026">
      <w:pPr>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(Base Legal: art. 40, inciso III da Lei 8.666/93; art. 9º, V c/c § 2º do Decreto 5450/05; art. 3º, I, Lei 10520/02) 15.1. Além daquelas determinadas por leis, decretos, regulamentos e demais dispositivos legais, a CONTRATADA estará sujeita a: </w:t>
      </w:r>
    </w:p>
    <w:p w:rsidR="00000000" w:rsidDel="00000000" w:rsidP="00000000" w:rsidRDefault="00000000" w:rsidRPr="00000000" w14:paraId="0000003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Sem prejuízo das sanções cominadas no art. 87, I, III e IV, da Lei nº 8.666/93, pela inexecução total ou parcial do contrato, a Administração poderá, garantida a prévia e ampla defesa, aplicar à Contratada multa de até 10% (dez por cento) sobre a parcela inadimplida; </w:t>
      </w:r>
    </w:p>
    <w:p w:rsidR="00000000" w:rsidDel="00000000" w:rsidP="00000000" w:rsidRDefault="00000000" w:rsidRPr="00000000" w14:paraId="0000003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000000" w:rsidDel="00000000" w:rsidP="00000000" w:rsidRDefault="00000000" w:rsidRPr="00000000" w14:paraId="0000003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000000" w:rsidDel="00000000" w:rsidP="00000000" w:rsidRDefault="00000000" w:rsidRPr="00000000" w14:paraId="0000003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As multas previstas nesta seção não eximem a adjudicatária ou contratada da reparação dos eventuais danos, perdas ou prejuízos que seu ato punível venha causar à Administração; </w:t>
      </w:r>
    </w:p>
    <w:p w:rsidR="00000000" w:rsidDel="00000000" w:rsidP="00000000" w:rsidRDefault="00000000" w:rsidRPr="00000000" w14:paraId="0000003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000000" w:rsidDel="00000000" w:rsidP="00000000" w:rsidRDefault="00000000" w:rsidRPr="00000000" w14:paraId="0000003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000000" w:rsidDel="00000000" w:rsidP="00000000" w:rsidRDefault="00000000" w:rsidRPr="00000000" w14:paraId="0000003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São exemplos de infração administrativa penalizáveis, nos termos da Lei nº 8.666, de 1993, da Lei nº 10.520, de 2002, do Decreto nº 3.555, de 2000, e do Decreto nº 10.024, de 2019: Inexecução total ou parcial do contrato; Apresentação de documentação falsa; Comportamento inidôneo; Fraude fiscal; e Descumprimento de qualquer dos deveres elencados no Edital ou no Contrato. </w:t>
      </w:r>
    </w:p>
    <w:p w:rsidR="00000000" w:rsidDel="00000000" w:rsidP="00000000" w:rsidRDefault="00000000" w:rsidRPr="00000000" w14:paraId="0000003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9.1.9. As sanções serão aplicadas sem prejuízo da responsabilidade civil e criminal que possa ser acionada em desfavor da Contratada, conforme infração cometida e prejuízos causados à administração ou a terceiros; </w:t>
      </w:r>
    </w:p>
    <w:p w:rsidR="00000000" w:rsidDel="00000000" w:rsidP="00000000" w:rsidRDefault="00000000" w:rsidRPr="00000000" w14:paraId="0000003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9.1.10. Para efeito de aplicação de multas, às infrações são atribuídos graus, com percentuais de multa conforme a tabela a seguir, que elenca apenas as principais situações previstas, não eximindo de outras equivalentes que surgirem, conforme o caso: </w:t>
      </w:r>
    </w:p>
    <w:p w:rsidR="00000000" w:rsidDel="00000000" w:rsidP="00000000" w:rsidRDefault="00000000" w:rsidRPr="00000000" w14:paraId="0000003F">
      <w:pPr>
        <w:spacing w:after="0" w:before="0" w:lineRule="auto"/>
        <w:ind w:left="0" w:right="120" w:firstLine="0"/>
        <w:jc w:val="both"/>
        <w:rPr>
          <w:rFonts w:ascii="Arial" w:cs="Arial" w:eastAsia="Arial" w:hAnsi="Arial"/>
          <w:sz w:val="16"/>
          <w:szCs w:val="16"/>
        </w:rPr>
      </w:pPr>
      <w:r w:rsidDel="00000000" w:rsidR="00000000" w:rsidRPr="00000000">
        <w:rPr>
          <w:rtl w:val="0"/>
        </w:rPr>
      </w:r>
    </w:p>
    <w:tbl>
      <w:tblPr>
        <w:tblStyle w:val="Table1"/>
        <w:tblW w:w="793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15"/>
        <w:gridCol w:w="4635"/>
        <w:gridCol w:w="990"/>
        <w:gridCol w:w="1395"/>
        <w:tblGridChange w:id="0">
          <w:tblGrid>
            <w:gridCol w:w="915"/>
            <w:gridCol w:w="4635"/>
            <w:gridCol w:w="990"/>
            <w:gridCol w:w="1395"/>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MULTA*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4">
            <w:pPr>
              <w:numPr>
                <w:ilvl w:val="0"/>
                <w:numId w:val="3"/>
              </w:numPr>
              <w:spacing w:after="24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br w:type="textWrapping"/>
              <w:t xml:space="preserve"> </w:t>
            </w:r>
          </w:p>
        </w:tc>
        <w:tc>
          <w:tcPr>
            <w:tcMar>
              <w:top w:w="100.0" w:type="dxa"/>
              <w:left w:w="100.0" w:type="dxa"/>
              <w:bottom w:w="100.0" w:type="dxa"/>
              <w:right w:w="100.0" w:type="dxa"/>
            </w:tcMar>
            <w:vAlign w:val="top"/>
          </w:tcPr>
          <w:p w:rsidR="00000000" w:rsidDel="00000000" w:rsidP="00000000" w:rsidRDefault="00000000" w:rsidRPr="00000000" w14:paraId="0000004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6">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7">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w:t>
            </w:r>
          </w:p>
        </w:tc>
      </w:tr>
      <w:tr>
        <w:trPr>
          <w:trHeight w:val="755" w:hRule="atLeast"/>
        </w:trPr>
        <w:tc>
          <w:tcPr>
            <w:tcMar>
              <w:top w:w="100.0" w:type="dxa"/>
              <w:left w:w="100.0" w:type="dxa"/>
              <w:bottom w:w="100.0" w:type="dxa"/>
              <w:right w:w="100.0" w:type="dxa"/>
            </w:tcMar>
            <w:vAlign w:val="top"/>
          </w:tcPr>
          <w:p w:rsidR="00000000" w:rsidDel="00000000" w:rsidP="00000000" w:rsidRDefault="00000000" w:rsidRPr="00000000" w14:paraId="00000048">
            <w:pPr>
              <w:numPr>
                <w:ilvl w:val="0"/>
                <w:numId w:val="12"/>
              </w:numPr>
              <w:spacing w:after="24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br w:type="textWrapping"/>
              <w:t xml:space="preserve"> </w:t>
            </w:r>
          </w:p>
        </w:tc>
        <w:tc>
          <w:tcPr>
            <w:tcMar>
              <w:top w:w="100.0" w:type="dxa"/>
              <w:left w:w="100.0" w:type="dxa"/>
              <w:bottom w:w="100.0" w:type="dxa"/>
              <w:right w:w="100.0" w:type="dxa"/>
            </w:tcMar>
            <w:vAlign w:val="top"/>
          </w:tcPr>
          <w:p w:rsidR="00000000" w:rsidDel="00000000" w:rsidP="00000000" w:rsidRDefault="00000000" w:rsidRPr="00000000" w14:paraId="0000004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C">
            <w:pPr>
              <w:numPr>
                <w:ilvl w:val="0"/>
                <w:numId w:val="5"/>
              </w:numPr>
              <w:spacing w:after="24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br w:type="textWrapping"/>
              <w:t xml:space="preserve"> </w:t>
            </w:r>
          </w:p>
        </w:tc>
        <w:tc>
          <w:tcPr>
            <w:tcMar>
              <w:top w:w="100.0" w:type="dxa"/>
              <w:left w:w="100.0" w:type="dxa"/>
              <w:bottom w:w="100.0" w:type="dxa"/>
              <w:right w:w="100.0" w:type="dxa"/>
            </w:tcMar>
            <w:vAlign w:val="top"/>
          </w:tcPr>
          <w:p w:rsidR="00000000" w:rsidDel="00000000" w:rsidP="00000000" w:rsidRDefault="00000000" w:rsidRPr="00000000" w14:paraId="0000004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serviços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w:t>
            </w:r>
          </w:p>
        </w:tc>
      </w:tr>
      <w:tr>
        <w:trPr>
          <w:trHeight w:val="755" w:hRule="atLeast"/>
        </w:trPr>
        <w:tc>
          <w:tcPr>
            <w:tcMar>
              <w:top w:w="100.0" w:type="dxa"/>
              <w:left w:w="100.0" w:type="dxa"/>
              <w:bottom w:w="100.0" w:type="dxa"/>
              <w:right w:w="100.0" w:type="dxa"/>
            </w:tcMar>
            <w:vAlign w:val="top"/>
          </w:tcPr>
          <w:p w:rsidR="00000000" w:rsidDel="00000000" w:rsidP="00000000" w:rsidRDefault="00000000" w:rsidRPr="00000000" w14:paraId="00000050">
            <w:pPr>
              <w:numPr>
                <w:ilvl w:val="0"/>
                <w:numId w:val="7"/>
              </w:numPr>
              <w:spacing w:after="24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br w:type="textWrapping"/>
              <w:t xml:space="preserve"> </w:t>
            </w:r>
          </w:p>
        </w:tc>
        <w:tc>
          <w:tcPr>
            <w:tcMar>
              <w:top w:w="100.0" w:type="dxa"/>
              <w:left w:w="100.0" w:type="dxa"/>
              <w:bottom w:w="100.0" w:type="dxa"/>
              <w:right w:w="100.0" w:type="dxa"/>
            </w:tcMar>
            <w:vAlign w:val="top"/>
          </w:tcPr>
          <w:p w:rsidR="00000000" w:rsidDel="00000000" w:rsidP="00000000" w:rsidRDefault="00000000" w:rsidRPr="00000000" w14:paraId="0000005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w:t>
            </w:r>
          </w:p>
        </w:tc>
      </w:tr>
      <w:tr>
        <w:trPr>
          <w:trHeight w:val="755" w:hRule="atLeast"/>
        </w:trPr>
        <w:tc>
          <w:tcPr>
            <w:tcMar>
              <w:top w:w="100.0" w:type="dxa"/>
              <w:left w:w="100.0" w:type="dxa"/>
              <w:bottom w:w="100.0" w:type="dxa"/>
              <w:right w:w="100.0" w:type="dxa"/>
            </w:tcMar>
            <w:vAlign w:val="top"/>
          </w:tcPr>
          <w:p w:rsidR="00000000" w:rsidDel="00000000" w:rsidP="00000000" w:rsidRDefault="00000000" w:rsidRPr="00000000" w14:paraId="00000054">
            <w:pPr>
              <w:numPr>
                <w:ilvl w:val="0"/>
                <w:numId w:val="1"/>
              </w:numPr>
              <w:spacing w:after="24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br w:type="textWrapping"/>
              <w:t xml:space="preserve"> </w:t>
            </w:r>
          </w:p>
        </w:tc>
        <w:tc>
          <w:tcPr>
            <w:tcMar>
              <w:top w:w="100.0" w:type="dxa"/>
              <w:left w:w="100.0" w:type="dxa"/>
              <w:bottom w:w="100.0" w:type="dxa"/>
              <w:right w:w="100.0" w:type="dxa"/>
            </w:tcMar>
            <w:vAlign w:val="top"/>
          </w:tcPr>
          <w:p w:rsidR="00000000" w:rsidDel="00000000" w:rsidP="00000000" w:rsidRDefault="00000000" w:rsidRPr="00000000" w14:paraId="0000005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serviço determinado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8">
            <w:pPr>
              <w:numPr>
                <w:ilvl w:val="0"/>
                <w:numId w:val="10"/>
              </w:numPr>
              <w:spacing w:after="24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br w:type="textWrapping"/>
              <w:t xml:space="preserve"> </w:t>
            </w:r>
          </w:p>
        </w:tc>
        <w:tc>
          <w:tcPr>
            <w:tcMar>
              <w:top w:w="100.0" w:type="dxa"/>
              <w:left w:w="100.0" w:type="dxa"/>
              <w:bottom w:w="100.0" w:type="dxa"/>
              <w:right w:w="100.0" w:type="dxa"/>
            </w:tcMar>
            <w:vAlign w:val="top"/>
          </w:tcPr>
          <w:p w:rsidR="00000000" w:rsidDel="00000000" w:rsidP="00000000" w:rsidRDefault="00000000" w:rsidRPr="00000000" w14:paraId="0000005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Executar serviço incompleto,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5C">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Para os itens a seguir, deixar de:</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numPr>
                <w:ilvl w:val="0"/>
                <w:numId w:val="8"/>
              </w:numPr>
              <w:spacing w:after="24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br w:type="textWrapping"/>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execução deste contrato;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numPr>
                <w:ilvl w:val="0"/>
                <w:numId w:val="2"/>
              </w:numPr>
              <w:spacing w:after="24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br w:type="textWrapping"/>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w:t>
            </w:r>
          </w:p>
        </w:tc>
      </w:tr>
      <w:tr>
        <w:trPr>
          <w:trHeight w:val="10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numPr>
                <w:ilvl w:val="0"/>
                <w:numId w:val="9"/>
              </w:numPr>
              <w:spacing w:after="24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br w:type="textWrapping"/>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w:t>
            </w:r>
          </w:p>
          <w:p w:rsidR="00000000" w:rsidDel="00000000" w:rsidP="00000000" w:rsidRDefault="00000000" w:rsidRPr="00000000" w14:paraId="0000006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numPr>
                <w:ilvl w:val="0"/>
                <w:numId w:val="6"/>
              </w:numPr>
              <w:spacing w:after="24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br w:type="textWrapping"/>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execução de serviço nos prazos estabelecidos, observados os limites mínimos estabelecidos por este Contrato; por serviço,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r>
      <w:tr>
        <w:trPr>
          <w:trHeight w:val="7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numPr>
                <w:ilvl w:val="0"/>
                <w:numId w:val="4"/>
              </w:numPr>
              <w:spacing w:after="24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br w:type="textWrapping"/>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numPr>
                <w:ilvl w:val="0"/>
                <w:numId w:val="11"/>
              </w:numPr>
              <w:spacing w:after="24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br w:type="textWrapping"/>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Substituir funcionário que se conduza de modo inconveniente ou não atenda às necessidades do Órgão, por funcionário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r>
    </w:tbl>
    <w:p w:rsidR="00000000" w:rsidDel="00000000" w:rsidP="00000000" w:rsidRDefault="00000000" w:rsidRPr="00000000" w14:paraId="00000079">
      <w:pPr>
        <w:spacing w:after="120" w:before="120" w:lineRule="auto"/>
        <w:ind w:left="120" w:right="120" w:firstLine="0"/>
        <w:jc w:val="left"/>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 Incidente sobre a parte inadimplida do contrato.</w:t>
      </w:r>
    </w:p>
    <w:p w:rsidR="00000000" w:rsidDel="00000000" w:rsidP="00000000" w:rsidRDefault="00000000" w:rsidRPr="00000000" w14:paraId="0000007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9.1.11. As sanções aqui previstas poderão ser aplicadas concomitantemente, facultada a defesa prévia do interessado, no respectivo processo, no prazo de 05 (cinco) dias úteis; </w:t>
      </w:r>
    </w:p>
    <w:p w:rsidR="00000000" w:rsidDel="00000000" w:rsidP="00000000" w:rsidRDefault="00000000" w:rsidRPr="00000000" w14:paraId="0000007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9.1.12. Após 30 (trinta) dias da falta de execução do objeto, será considerada inexecução total do contrato, o que ensejará a rescisão contratual; </w:t>
      </w:r>
    </w:p>
    <w:p w:rsidR="00000000" w:rsidDel="00000000" w:rsidP="00000000" w:rsidRDefault="00000000" w:rsidRPr="00000000" w14:paraId="0000007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9.1.13 As sanções de natureza pecuniária serão diretamente descontadas de créditos que eventualmente detenha a CONTRATADA ou efetuada a sua cobrança na forma prevista em lei;</w:t>
      </w:r>
      <w:r w:rsidDel="00000000" w:rsidR="00000000" w:rsidRPr="00000000">
        <w:rPr>
          <w:rtl w:val="0"/>
        </w:rPr>
      </w:r>
    </w:p>
    <w:p w:rsidR="00000000" w:rsidDel="00000000" w:rsidP="00000000" w:rsidRDefault="00000000" w:rsidRPr="00000000" w14:paraId="0000007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000000" w:rsidDel="00000000" w:rsidP="00000000" w:rsidRDefault="00000000" w:rsidRPr="00000000" w14:paraId="0000007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9.1.15. A autoridade competente, na aplicação das sanções, levará em consideração a gravidade da conduta do infrator, o caráter educativo da pena, bem como o dano causado à Administração, observado o princípio da proporcionalidade; </w:t>
      </w:r>
    </w:p>
    <w:p w:rsidR="00000000" w:rsidDel="00000000" w:rsidP="00000000" w:rsidRDefault="00000000" w:rsidRPr="00000000" w14:paraId="0000007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9.1.16. A sanção será obrigatoriamente registrada no Sistema de Cadastramento Unificado de Fornecedores – SICAF, bem como em sistemas Estaduais; </w:t>
      </w:r>
    </w:p>
    <w:p w:rsidR="00000000" w:rsidDel="00000000" w:rsidP="00000000" w:rsidRDefault="00000000" w:rsidRPr="00000000" w14:paraId="00000080">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195.1.17.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81">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9.1.17.1. Tenham sofrido condenações definitivas por praticarem, por meio dolosos, fraude fiscal no recolhimento de tributos; </w:t>
      </w:r>
    </w:p>
    <w:p w:rsidR="00000000" w:rsidDel="00000000" w:rsidP="00000000" w:rsidRDefault="00000000" w:rsidRPr="00000000" w14:paraId="0000008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9.1.17.2. Tenham praticado atos ilícitos visando a frustrar os objetivos da licitação, e; </w:t>
      </w:r>
    </w:p>
    <w:p w:rsidR="00000000" w:rsidDel="00000000" w:rsidP="00000000" w:rsidRDefault="00000000" w:rsidRPr="00000000" w14:paraId="0000008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9.1.17.3. Demonstrem não possuir idoneidade para contratar com a Administração em virtude de atos ilícitos praticados; </w:t>
      </w:r>
    </w:p>
    <w:p w:rsidR="00000000" w:rsidDel="00000000" w:rsidP="00000000" w:rsidRDefault="00000000" w:rsidRPr="00000000" w14:paraId="0000008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9.1.18.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000000" w:rsidDel="00000000" w:rsidP="00000000" w:rsidRDefault="00000000" w:rsidRPr="00000000" w14:paraId="0000008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9.1.19. Na hipótese de apresentar documentação inverossímil ou de cometer fraude, o licitante poderá sofrer sem prejuízo da comunicação do ocorrido ao Ministério Público, quaisquer das sanções previstas, que poderão ser aplicadas cumulativamente; e </w:t>
      </w:r>
    </w:p>
    <w:p w:rsidR="00000000" w:rsidDel="00000000" w:rsidP="00000000" w:rsidRDefault="00000000" w:rsidRPr="00000000" w14:paraId="0000008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9.1.20. Nenhuma sanção será aplicada sem o devido processo administrativo, que prevê defesa prévia do interessado e recurso nos prazos definidos em Lei, sendo lhe franqueada vista ao processo.</w:t>
      </w:r>
    </w:p>
    <w:p w:rsidR="00000000" w:rsidDel="00000000" w:rsidP="00000000" w:rsidRDefault="00000000" w:rsidRPr="00000000" w14:paraId="00000087">
      <w:pPr>
        <w:spacing w:after="0" w:before="0" w:lineRule="auto"/>
        <w:ind w:left="0" w:right="12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8">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9">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A">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F">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0">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 preços aos valores praticados pelo mercado.</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A">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0">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EPR </w:t>
      </w:r>
      <w:r w:rsidDel="00000000" w:rsidR="00000000" w:rsidRPr="00000000">
        <w:rPr>
          <w:rFonts w:ascii="Arial" w:cs="Arial" w:eastAsia="Arial" w:hAnsi="Arial"/>
          <w:sz w:val="16"/>
          <w:szCs w:val="16"/>
          <w:rtl w:val="0"/>
        </w:rPr>
        <w:t xml:space="preserve">- Superintendência de Estado para Resultados; </w:t>
      </w:r>
    </w:p>
    <w:p w:rsidR="00000000" w:rsidDel="00000000" w:rsidP="00000000" w:rsidRDefault="00000000" w:rsidRPr="00000000" w14:paraId="000000B1">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SEJUS </w:t>
      </w:r>
      <w:r w:rsidDel="00000000" w:rsidR="00000000" w:rsidRPr="00000000">
        <w:rPr>
          <w:rFonts w:ascii="Arial" w:cs="Arial" w:eastAsia="Arial" w:hAnsi="Arial"/>
          <w:sz w:val="16"/>
          <w:szCs w:val="16"/>
          <w:rtl w:val="0"/>
        </w:rPr>
        <w:t xml:space="preserve">- Secretaria de Estado de Justiça; </w:t>
      </w:r>
    </w:p>
    <w:p w:rsidR="00000000" w:rsidDel="00000000" w:rsidP="00000000" w:rsidRDefault="00000000" w:rsidRPr="00000000" w14:paraId="000000B2">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SEGEP- </w:t>
      </w:r>
      <w:r w:rsidDel="00000000" w:rsidR="00000000" w:rsidRPr="00000000">
        <w:rPr>
          <w:rFonts w:ascii="Arial" w:cs="Arial" w:eastAsia="Arial" w:hAnsi="Arial"/>
          <w:sz w:val="16"/>
          <w:szCs w:val="16"/>
          <w:rtl w:val="0"/>
        </w:rPr>
        <w:t xml:space="preserve">Superintendência Estadual de Gestão de Pessoas; </w:t>
      </w:r>
    </w:p>
    <w:p w:rsidR="00000000" w:rsidDel="00000000" w:rsidP="00000000" w:rsidRDefault="00000000" w:rsidRPr="00000000" w14:paraId="000000B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SEDUC </w:t>
      </w:r>
      <w:r w:rsidDel="00000000" w:rsidR="00000000" w:rsidRPr="00000000">
        <w:rPr>
          <w:rFonts w:ascii="Arial" w:cs="Arial" w:eastAsia="Arial" w:hAnsi="Arial"/>
          <w:sz w:val="16"/>
          <w:szCs w:val="16"/>
          <w:rtl w:val="0"/>
        </w:rPr>
        <w:t xml:space="preserve">- Secretaria de Estado da Educação; e </w:t>
      </w:r>
    </w:p>
    <w:p w:rsidR="00000000" w:rsidDel="00000000" w:rsidP="00000000" w:rsidRDefault="00000000" w:rsidRPr="00000000" w14:paraId="000000B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SEDAM </w:t>
      </w:r>
      <w:r w:rsidDel="00000000" w:rsidR="00000000" w:rsidRPr="00000000">
        <w:rPr>
          <w:rFonts w:ascii="Arial" w:cs="Arial" w:eastAsia="Arial" w:hAnsi="Arial"/>
          <w:sz w:val="16"/>
          <w:szCs w:val="16"/>
          <w:rtl w:val="0"/>
        </w:rPr>
        <w:t xml:space="preserve">- Secretaria de Estado de Desenvolvimento Ambiental.</w:t>
      </w:r>
    </w:p>
    <w:p w:rsidR="00000000" w:rsidDel="00000000" w:rsidP="00000000" w:rsidRDefault="00000000" w:rsidRPr="00000000" w14:paraId="000000B5">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B6">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C">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D">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F">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C0">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1">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C2">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C3">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5">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9">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RL/SRP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WM9FhTZUEYlduKoh8adup2xjrA==">AMUW2mUvpeInpqcaFZTud6jSYKP4FY9CTtV9c8sLu9iiGr3m9NFPapJ8dRPODnGsupplwk5txpTGIHtGt6oc11/80MYSln81XNflsuGYr78IWPKeMRtYyDWSmhTfF26sKi+wST9okdSn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2020-03-03T13:49:00Z</dcterms:created>
  <dc:creator>SESAU</dc:creator>
</cp:coreProperties>
</file>