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154/2020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049/2020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0048.072426/2018-56</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aquisição de Vacinas, antibióticos e equipamentos para manuseio com os animais, para atender as necessidades do Centro Técnico Estadual de Educação Rural Abaitará – CENTEC ABAITARÁ, através do Instituto Estadual de Desenvolvimento da Educação Profissional – IDEP/RO,</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aquisição de Vacinas, antibióticos e equipamentos para manuseio com os animais, para atender as necessidades do Centro Técnico Estadual de Educação Rural Abaitará – CENTEC ABAITARÁ, através do Instituto Estadual de Desenvolvimento da Educação Profissional – IDEP/RO.</w:t>
      </w:r>
    </w:p>
    <w:p w:rsidR="00000000" w:rsidDel="00000000" w:rsidP="00000000" w:rsidRDefault="00000000" w:rsidRPr="00000000" w14:paraId="0000000F">
      <w:pPr>
        <w:tabs>
          <w:tab w:val="left" w:pos="2707"/>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 prazo de entrega dos itens será de até 30 (trinta) dias, contados da data do recebimento da Nota de Empenho. Este prazo poderá ser dilatado em casos excepcionais, mediante apresentação de justificativa, com concordância da Administração</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 </w:t>
      </w:r>
      <w:r w:rsidDel="00000000" w:rsidR="00000000" w:rsidRPr="00000000">
        <w:rPr>
          <w:rFonts w:ascii="Arial" w:cs="Arial" w:eastAsia="Arial" w:hAnsi="Arial"/>
          <w:sz w:val="16"/>
          <w:szCs w:val="16"/>
          <w:rtl w:val="0"/>
        </w:rPr>
        <w:t xml:space="preserve">Os produtos deverão ser entregues no CENTRO TÉCNICO ESTADUAL DE EDUCAÇÃO RURAL ABAITARÁ, localizado à Rodovia RO-010, zona rural, km 32, Setor Abaitará, Pimenta Bueno – RO, de segunda à sexta-feira, das 08h:00min às 12h:00min e das 14h:00min às 17h:00min, no prazo de até 30 (trinta) dias após a entrega da Nota de Empenho.</w:t>
      </w:r>
      <w:r w:rsidDel="00000000" w:rsidR="00000000" w:rsidRPr="00000000">
        <w:rPr>
          <w:rtl w:val="0"/>
        </w:rPr>
      </w:r>
    </w:p>
    <w:p w:rsidR="00000000" w:rsidDel="00000000" w:rsidP="00000000" w:rsidRDefault="00000000" w:rsidRPr="00000000" w14:paraId="0000002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3">
      <w:pPr>
        <w:spacing w:after="0" w:before="0" w:lineRule="auto"/>
        <w:ind w:left="0" w:right="120" w:firstLine="0"/>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(Base Legal: art. 40, inciso III da Lei 8.666/93, Decreto 10.024/2019, Art. 3º, I, Lei 10520/02; art. 2º, II, “e” e 19, XI da  IN 05/2017/MPOG).</w:t>
      </w:r>
    </w:p>
    <w:p w:rsidR="00000000" w:rsidDel="00000000" w:rsidP="00000000" w:rsidRDefault="00000000" w:rsidRPr="00000000" w14:paraId="0000003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r w:rsidDel="00000000" w:rsidR="00000000" w:rsidRPr="00000000">
        <w:rPr>
          <w:rFonts w:ascii="Arial" w:cs="Arial" w:eastAsia="Arial" w:hAnsi="Arial"/>
          <w:sz w:val="16"/>
          <w:szCs w:val="16"/>
          <w:rtl w:val="0"/>
        </w:rPr>
        <w:t xml:space="preserve">.1.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000000" w:rsidDel="00000000" w:rsidP="00000000" w:rsidRDefault="00000000" w:rsidRPr="00000000" w14:paraId="0000003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3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3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3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4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4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4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bl>
      <w:tblPr>
        <w:tblStyle w:val="Table1"/>
        <w:tblW w:w="877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20"/>
        <w:gridCol w:w="5850"/>
        <w:gridCol w:w="855"/>
        <w:gridCol w:w="1350"/>
        <w:tblGridChange w:id="0">
          <w:tblGrid>
            <w:gridCol w:w="720"/>
            <w:gridCol w:w="5850"/>
            <w:gridCol w:w="855"/>
            <w:gridCol w:w="1350"/>
          </w:tblGrid>
        </w:tblGridChange>
      </w:tblGrid>
      <w:tr>
        <w:trPr>
          <w:trHeight w:val="390" w:hRule="atLeast"/>
        </w:trPr>
        <w:tc>
          <w:tcPr>
            <w:tcMar>
              <w:top w:w="100.0" w:type="dxa"/>
              <w:left w:w="100.0" w:type="dxa"/>
              <w:bottom w:w="100.0" w:type="dxa"/>
              <w:right w:w="100.0" w:type="dxa"/>
            </w:tcMar>
            <w:vAlign w:val="top"/>
          </w:tcPr>
          <w:p w:rsidR="00000000" w:rsidDel="00000000" w:rsidP="00000000" w:rsidRDefault="00000000" w:rsidRPr="00000000" w14:paraId="0000004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MULTA*</w:t>
            </w:r>
          </w:p>
        </w:tc>
      </w:tr>
      <w:tr>
        <w:trPr>
          <w:trHeight w:val="690" w:hRule="atLeast"/>
        </w:trPr>
        <w:tc>
          <w:tcPr>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danos,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450"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675"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a entrega dos materiais,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5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435"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360"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300" w:hRule="atLeast"/>
        </w:trPr>
        <w:tc>
          <w:tcPr>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referente à entrega dos materiais, por ocorrência.</w:t>
            </w:r>
          </w:p>
        </w:tc>
        <w:tc>
          <w:tcPr>
            <w:tcMar>
              <w:top w:w="100.0" w:type="dxa"/>
              <w:left w:w="100.0" w:type="dxa"/>
              <w:bottom w:w="100.0" w:type="dxa"/>
              <w:right w:w="100.0" w:type="dxa"/>
            </w:tcMar>
            <w:vAlign w:val="top"/>
          </w:tcPr>
          <w:p w:rsidR="00000000" w:rsidDel="00000000" w:rsidP="00000000" w:rsidRDefault="00000000" w:rsidRPr="00000000" w14:paraId="0000005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50" w:hRule="atLeast"/>
        </w:trPr>
        <w:tc>
          <w:tcPr>
            <w:gridSpan w:val="4"/>
            <w:tcMar>
              <w:top w:w="100.0" w:type="dxa"/>
              <w:left w:w="100.0" w:type="dxa"/>
              <w:bottom w:w="100.0" w:type="dxa"/>
              <w:right w:w="100.0" w:type="dxa"/>
            </w:tcMar>
            <w:vAlign w:val="top"/>
          </w:tcPr>
          <w:p w:rsidR="00000000" w:rsidDel="00000000" w:rsidP="00000000" w:rsidRDefault="00000000" w:rsidRPr="00000000" w14:paraId="0000006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os itens a seguir, deixar de:</w:t>
            </w:r>
          </w:p>
        </w:tc>
      </w:tr>
      <w:tr>
        <w:trPr>
          <w:trHeight w:val="6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dos materiais;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6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63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4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78">
      <w:pPr>
        <w:spacing w:after="0" w:before="0" w:lineRule="auto"/>
        <w:ind w:left="0" w:right="120" w:firstLine="0"/>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o valor inadimplido do contrato.</w:t>
      </w:r>
    </w:p>
    <w:p w:rsidR="00000000" w:rsidDel="00000000" w:rsidP="00000000" w:rsidRDefault="00000000" w:rsidRPr="00000000" w14:paraId="0000007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r w:rsidDel="00000000" w:rsidR="00000000" w:rsidRPr="00000000">
        <w:rPr>
          <w:rFonts w:ascii="Arial" w:cs="Arial" w:eastAsia="Arial" w:hAnsi="Arial"/>
          <w:sz w:val="16"/>
          <w:szCs w:val="16"/>
          <w:rtl w:val="0"/>
        </w:rPr>
        <w:t xml:space="preserve">.11.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7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7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8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w:t>
      </w:r>
    </w:p>
    <w:p w:rsidR="00000000" w:rsidDel="00000000" w:rsidP="00000000" w:rsidRDefault="00000000" w:rsidRPr="00000000" w14:paraId="0000008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83">
      <w:pPr>
        <w:spacing w:after="0" w:before="0" w:lineRule="auto"/>
        <w:ind w:left="0" w:right="1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5">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6">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C">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2">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IDEP - </w:t>
      </w:r>
      <w:r w:rsidDel="00000000" w:rsidR="00000000" w:rsidRPr="00000000">
        <w:rPr>
          <w:rFonts w:ascii="Arial" w:cs="Arial" w:eastAsia="Arial" w:hAnsi="Arial"/>
          <w:sz w:val="16"/>
          <w:szCs w:val="16"/>
          <w:rtl w:val="0"/>
        </w:rPr>
        <w:t xml:space="preserve">Instituto Estadual de Desenvolvimento da Educação Profissional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A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E">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8">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9">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A">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B">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RL/SRP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citacao" w:customStyle="1">
    <w:name w:val="citacao"/>
    <w:basedOn w:val="Normal"/>
    <w:rsid w:val="008A0357"/>
    <w:pPr>
      <w:spacing w:after="100" w:afterAutospacing="1" w:before="100" w:beforeAutospacing="1"/>
    </w:pPr>
    <w:rPr>
      <w:sz w:val="24"/>
      <w:szCs w:val="24"/>
    </w:rPr>
  </w:style>
  <w:style w:type="paragraph" w:styleId="Default" w:customStyle="1">
    <w:name w:val="Default"/>
    <w:rsid w:val="00FC0F30"/>
    <w:pPr>
      <w:autoSpaceDE w:val="0"/>
      <w:autoSpaceDN w:val="0"/>
      <w:adjustRightInd w:val="0"/>
      <w:spacing w:after="0" w:line="240" w:lineRule="auto"/>
    </w:pPr>
    <w:rPr>
      <w:color w:val="000000"/>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vs3+8wtypghOLOOdf8lAUvztEw==">AMUW2mVW3VFoL/z5kM2E36uaiclqhwD/MPAUMU/xw26X/qPVXpS7K88+SA7BryV/VYC4IJ8Nd8MM4tJW5o5fqfQqk+Gndx9z7a+OK/FQ3sFTPdg4wu0Ts57JnGFKTcEn3xyOJg2vi3ZW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2020-04-10T20:16:00Z</dcterms:created>
  <dc:creator>SESAU</dc:creator>
</cp:coreProperties>
</file>