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147/2020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140/2020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0036.063673/2020-15</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de dietas enterais, fórmulas infantis, suplementos e módulos, a fim de atender demanda do Hospital de Base Dr. Ary Pinheiro - HBAP, Assistência Médica Intensiva - AMI, Hospital Pronto Socorro João Paulo II - HPSJPII, Hospital Infantil Cosme e Damião - HICD, Hospital Regional de Cacoal - HRC, Hospital de Urgência e Emergência Regional de Cacoal – HEURO e Centro de Medicina Tropical de Rondônia – CEMETRON, Hospital Regional de Buritis - HRB, Hospital Regional de Extrema - HRE, Hospital Regional de São Francisco do Guaporé - HRSFG, bem como os pacientes domiciliares cadastrados na CENE/SESAU, atendidos pelo Serviço de Atendimento Multidisciplinar Domiciliar - SAMD, a pedido da Secretaria de Estado da Saúde - SESAU/RO,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de dietas enterais, fórmulas infantis, suplementos e módulos, a fim de atender demanda do Hospital de Base Dr. Ary Pinheiro - HBAP, Assistência Médica Intensiva - AMI, Hospital Pronto Socorro João Paulo II - HPSJPII, Hospital Infantil Cosme e Damião - HICD, Hospital Regional de Cacoal - HRC, Hospital de Urgência e Emergência Regional de Cacoal – HEURO e Centro de Medicina Tropical de Rondônia – CEMETRON, Hospital Regional de Buritis - HRB, Hospital Regional de Extrema - HRE, Hospital Regional de São Francisco do Guaporé - HRSFG, bem como os pacientes domiciliares cadastrados na CENE/SESAU, atendidos pelo Serviço de Atendimento Multidisciplinar Domiciliar - SAMD, a pedido da Secretaria de Estado da Saúde - SESAU/RO.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A entrega do objeto será realizada de acordo com as necessidades da CENE/SESAU/RO, no prazo de 30 dias contados a partir do recebimento do empenho, respeitadas as quantidades indicadas em cada solicitação;</w:t>
      </w:r>
    </w:p>
    <w:p w:rsidR="00000000" w:rsidDel="00000000" w:rsidP="00000000" w:rsidRDefault="00000000" w:rsidRPr="00000000" w14:paraId="00000025">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Os materiais deverão ser entregues na Coordenadoria Estadual de Nutrição Enteral sito à Rua: Aparício Moraes, n° 4348, Galpão C – Setor Industrial – Porto Velho/Rondônia – CEP: 76.821-240. Tel. (69) 3222-0509/69 98482-0983/69 98482-1370.</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6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Além das penalidades previstas na Lei nº. 8.666/93, a CONTRATADA estará sujeita as sanções previstas no art. 87, da mesma lei, pela inexecução total ou parcial do objeto do contrato, originado deste instrumento de aquisição, conforme segue:</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Multa de 0,2% (dois décimos por cento) ao dia, por atraso no fornecimento e por entrega em desacordo com as especificações estabelecidas neste Termo de Referência, até o décimo dia corrido;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Depois de esgotado o(s) prazo(s) concedido(s), conforme item </w:t>
      </w:r>
      <w:r w:rsidDel="00000000" w:rsidR="00000000" w:rsidRPr="00000000">
        <w:rPr>
          <w:rFonts w:ascii="Arial" w:cs="Arial" w:eastAsia="Arial" w:hAnsi="Arial"/>
          <w:b w:val="1"/>
          <w:sz w:val="16"/>
          <w:szCs w:val="16"/>
          <w:rtl w:val="0"/>
        </w:rPr>
        <w:t xml:space="preserve">7.2.1</w:t>
      </w:r>
      <w:r w:rsidDel="00000000" w:rsidR="00000000" w:rsidRPr="00000000">
        <w:rPr>
          <w:rFonts w:ascii="Arial" w:cs="Arial" w:eastAsia="Arial" w:hAnsi="Arial"/>
          <w:sz w:val="16"/>
          <w:szCs w:val="16"/>
          <w:rtl w:val="0"/>
        </w:rPr>
        <w:t xml:space="preserve">, esta SESAU/RO, aplicará a multa por atraso na entrega de 0,5% ao dia até o limite de 10% sobre o valor da parte inadimplida, e, entendendo necessário, aplicará as sanções administrativas previstas na Lei 8.666/93, art. 86 a 88;</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48">
      <w:pPr>
        <w:spacing w:after="0" w:before="0" w:lineRule="auto"/>
        <w:ind w:left="0" w:right="120" w:firstLine="0"/>
        <w:jc w:val="both"/>
        <w:rPr>
          <w:rFonts w:ascii="Arial" w:cs="Arial" w:eastAsia="Arial" w:hAnsi="Arial"/>
          <w:sz w:val="16"/>
          <w:szCs w:val="16"/>
        </w:rPr>
      </w:pPr>
      <w:r w:rsidDel="00000000" w:rsidR="00000000" w:rsidRPr="00000000">
        <w:rPr>
          <w:rtl w:val="0"/>
        </w:rPr>
      </w:r>
    </w:p>
    <w:tbl>
      <w:tblPr>
        <w:tblStyle w:val="Table1"/>
        <w:tblW w:w="99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75"/>
        <w:gridCol w:w="6920"/>
        <w:gridCol w:w="950"/>
        <w:gridCol w:w="1205"/>
        <w:tblGridChange w:id="0">
          <w:tblGrid>
            <w:gridCol w:w="875"/>
            <w:gridCol w:w="6920"/>
            <w:gridCol w:w="950"/>
            <w:gridCol w:w="1205"/>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8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fornecimento do objeto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entregar os bens determinados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8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800" w:hRule="atLeast"/>
        </w:trPr>
        <w:tc>
          <w:tcPr>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sobre 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8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materiais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8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8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fornecimento nos prazos estabelecidos, observados os limites mínimos estabelecidos,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8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8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D">
      <w:pPr>
        <w:spacing w:after="240" w:before="240" w:lineRule="auto"/>
        <w:jc w:val="both"/>
        <w:rPr>
          <w:rFonts w:ascii="Arial" w:cs="Arial" w:eastAsia="Arial" w:hAnsi="Arial"/>
          <w:i w:val="1"/>
          <w:sz w:val="16"/>
          <w:szCs w:val="16"/>
        </w:rPr>
      </w:pP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i w:val="1"/>
          <w:sz w:val="16"/>
          <w:szCs w:val="16"/>
          <w:rtl w:val="0"/>
        </w:rPr>
        <w:t xml:space="preserve">incidente sobre a parte inadimplida do contrato.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9.23.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8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9.24. Suspensão temporária</w:t>
      </w:r>
      <w:r w:rsidDel="00000000" w:rsidR="00000000" w:rsidRPr="00000000">
        <w:rPr>
          <w:rFonts w:ascii="Arial" w:cs="Arial" w:eastAsia="Arial" w:hAnsi="Arial"/>
          <w:sz w:val="16"/>
          <w:szCs w:val="16"/>
          <w:rtl w:val="0"/>
        </w:rPr>
        <w:t xml:space="preserve"> de participar em licitação e impedimento de contratar com a Administração, pelo </w:t>
      </w:r>
      <w:r w:rsidDel="00000000" w:rsidR="00000000" w:rsidRPr="00000000">
        <w:rPr>
          <w:rFonts w:ascii="Arial" w:cs="Arial" w:eastAsia="Arial" w:hAnsi="Arial"/>
          <w:b w:val="1"/>
          <w:sz w:val="16"/>
          <w:szCs w:val="16"/>
          <w:rtl w:val="0"/>
        </w:rPr>
        <w:t xml:space="preserve">prazo não superior a 02 (dois) anos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9.25. </w:t>
      </w:r>
      <w:r w:rsidDel="00000000" w:rsidR="00000000" w:rsidRPr="00000000">
        <w:rPr>
          <w:rFonts w:ascii="Arial" w:cs="Arial" w:eastAsia="Arial" w:hAnsi="Arial"/>
          <w:sz w:val="16"/>
          <w:szCs w:val="16"/>
          <w:rtl w:val="0"/>
        </w:rPr>
        <w:t xml:space="preserve">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000000" w:rsidDel="00000000" w:rsidP="00000000" w:rsidRDefault="00000000" w:rsidRPr="00000000" w14:paraId="0000008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9.26. </w:t>
      </w:r>
      <w:r w:rsidDel="00000000" w:rsidR="00000000" w:rsidRPr="00000000">
        <w:rPr>
          <w:rFonts w:ascii="Arial" w:cs="Arial" w:eastAsia="Arial" w:hAnsi="Arial"/>
          <w:sz w:val="16"/>
          <w:szCs w:val="16"/>
          <w:rtl w:val="0"/>
        </w:rPr>
        <w:t xml:space="preserve">As sanções são independentes e a aplicação de uma não exclui a das outras.</w:t>
      </w:r>
      <w:r w:rsidDel="00000000" w:rsidR="00000000" w:rsidRPr="00000000">
        <w:rPr>
          <w:rtl w:val="0"/>
        </w:rPr>
      </w:r>
    </w:p>
    <w:p w:rsidR="00000000" w:rsidDel="00000000" w:rsidP="00000000" w:rsidRDefault="00000000" w:rsidRPr="00000000" w14:paraId="0000008B">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D">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E">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4">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E">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r>
    </w:p>
    <w:p w:rsidR="00000000" w:rsidDel="00000000" w:rsidP="00000000" w:rsidRDefault="00000000" w:rsidRPr="00000000" w14:paraId="000000B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DofGWiBUM/DCzC2MM9bQhSRvQ==">AMUW2mX46VRVZKqqhbt9ZfTCWKSagytzKD/zMiERyrp8wzbYPxrPJmFczpX5f/y2nFZIW57ef6sWfO1uFCEAnjZTusahhIBlv83JDuFVITD9QDNq06Nz81LYlU5ZT1ywXg21TAN/JVCJ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