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130/2020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0049.013036/2020-59</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material permanente (equipamentos e mobiliários hospitalares), visando atender as necessidades do Núcleo de Patrimônio deste Hospital de Base "Dr. Ary Pinheiro" - HBAP/SESAU/RO,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material permanente (equipamentos e mobiliários hospitalares), visando atender as necessidades do Núcleo de Patrimônio deste Hospital de Base "Dr. Ary Pinheiro" - HBAP/SESAU/RO.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O prazo para entrega e instalação será de até 30 (trinta) dias após o recebimento da Nota de Empenho.</w:t>
      </w:r>
    </w:p>
    <w:p w:rsidR="00000000" w:rsidDel="00000000" w:rsidP="00000000" w:rsidRDefault="00000000" w:rsidRPr="00000000" w14:paraId="00000025">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Os materiais deverão ser entregues na Coordenadoria de Almoxarifado e Patrimônio (CAP), na Rua Aparício de Moraes, nº 4348, ao lado do almoxarifado da AGEVISA e próximo ao CAF II. Funcionamento de segunda a sexta-feira das 7h30min às 13h30min.</w:t>
      </w: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6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000000" w:rsidDel="00000000" w:rsidP="00000000" w:rsidRDefault="00000000" w:rsidRPr="00000000" w14:paraId="0000003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000000" w:rsidDel="00000000" w:rsidP="00000000" w:rsidRDefault="00000000" w:rsidRPr="00000000" w14:paraId="0000003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000000" w:rsidDel="00000000" w:rsidP="00000000" w:rsidRDefault="00000000" w:rsidRPr="00000000" w14:paraId="0000003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w:t>
      </w:r>
      <w:r w:rsidDel="00000000" w:rsidR="00000000" w:rsidRPr="00000000">
        <w:rPr>
          <w:rFonts w:ascii="Arial" w:cs="Arial" w:eastAsia="Arial" w:hAnsi="Arial"/>
          <w:sz w:val="16"/>
          <w:szCs w:val="16"/>
          <w:rtl w:val="0"/>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8.8.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 Inexecução total ou parcial do contrato; </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 Apresentação de documentação falsa; </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 Comportamento inidôneo; </w:t>
      </w:r>
    </w:p>
    <w:p w:rsidR="00000000" w:rsidDel="00000000" w:rsidP="00000000" w:rsidRDefault="00000000" w:rsidRPr="00000000" w14:paraId="0000003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 Fraude fiscal; </w:t>
      </w:r>
    </w:p>
    <w:p w:rsidR="00000000" w:rsidDel="00000000" w:rsidP="00000000" w:rsidRDefault="00000000" w:rsidRPr="00000000" w14:paraId="0000003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 Descumprimento de qualquer dos deveres elencados no Edital ou no Contrato </w:t>
      </w:r>
    </w:p>
    <w:p w:rsidR="00000000" w:rsidDel="00000000" w:rsidP="00000000" w:rsidRDefault="00000000" w:rsidRPr="00000000" w14:paraId="00000040">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8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30"/>
        <w:gridCol w:w="6860"/>
        <w:gridCol w:w="890"/>
        <w:gridCol w:w="1100"/>
        <w:tblGridChange w:id="0">
          <w:tblGrid>
            <w:gridCol w:w="830"/>
            <w:gridCol w:w="6860"/>
            <w:gridCol w:w="890"/>
            <w:gridCol w:w="1100"/>
          </w:tblGrid>
        </w:tblGridChange>
      </w:tblGrid>
      <w:tr>
        <w:trPr>
          <w:trHeight w:val="485"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entregar os bens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1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Realizar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40"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quanto ao objeto ou substituição de material; por ocorrência.</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485" w:hRule="atLeast"/>
        </w:trPr>
        <w:tc>
          <w:tcPr>
            <w:gridSpan w:val="4"/>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reposição de equipamentos danificados,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permanentes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7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Incidente sobre o valor da parcela Inadimplida.</w:t>
      </w:r>
    </w:p>
    <w:p w:rsidR="00000000" w:rsidDel="00000000" w:rsidP="00000000" w:rsidRDefault="00000000" w:rsidRPr="00000000" w14:paraId="00000077">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7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 </w:t>
      </w:r>
    </w:p>
    <w:p w:rsidR="00000000" w:rsidDel="00000000" w:rsidP="00000000" w:rsidRDefault="00000000" w:rsidRPr="00000000" w14:paraId="0000007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7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7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 </w:t>
      </w: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C">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E">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F">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5">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 </w:t>
      </w:r>
      <w:r w:rsidDel="00000000" w:rsidR="00000000" w:rsidRPr="00000000">
        <w:rPr>
          <w:rFonts w:ascii="Arial" w:cs="Arial" w:eastAsia="Arial" w:hAnsi="Arial"/>
          <w:sz w:val="16"/>
          <w:szCs w:val="16"/>
          <w:rtl w:val="0"/>
        </w:rPr>
        <w:t xml:space="preserve">Secretaria de Estado da Saúde.</w:t>
      </w:r>
      <w:r w:rsidDel="00000000" w:rsidR="00000000" w:rsidRPr="00000000">
        <w:rPr>
          <w:rtl w:val="0"/>
        </w:rPr>
      </w:r>
    </w:p>
    <w:p w:rsidR="00000000" w:rsidDel="00000000" w:rsidP="00000000" w:rsidRDefault="00000000" w:rsidRPr="00000000" w14:paraId="000000A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7">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8evHNu1q5WRmDszgO/4mfjjaqw==">AMUW2mXpvNHTSpE2pImaGRDIoCJQi+CluVjs2qbppujaHDHF9bLhSlbafhZXPeDoMGv9CncX+sge7ssp4CVkJF8SSRj+x1elzIt1NdwU5MS5c0AHzKOx4hBr2ebEEHpvC9w+aypd/4dy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