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023/2020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0032507866/2019-98</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w:t>
      </w:r>
      <w:r w:rsidDel="00000000" w:rsidR="00000000" w:rsidRPr="00000000">
        <w:rPr>
          <w:rFonts w:ascii="Arial" w:cs="Arial" w:eastAsia="Arial" w:hAnsi="Arial"/>
          <w:b w:val="1"/>
          <w:sz w:val="16"/>
          <w:szCs w:val="16"/>
          <w:rtl w:val="0"/>
        </w:rPr>
        <w:t xml:space="preserve">Contratação de empresa especializada em confecção de materiais de divulgação</w:t>
      </w:r>
      <w:r w:rsidDel="00000000" w:rsidR="00000000" w:rsidRPr="00000000">
        <w:rPr>
          <w:rFonts w:ascii="Arial" w:cs="Arial" w:eastAsia="Arial" w:hAnsi="Arial"/>
          <w:color w:val="000000"/>
          <w:sz w:val="16"/>
          <w:szCs w:val="16"/>
          <w:rtl w:val="0"/>
        </w:rPr>
        <w:t xml:space="preserve">, a pedido da</w:t>
      </w:r>
      <w:r w:rsidDel="00000000" w:rsidR="00000000" w:rsidRPr="00000000">
        <w:rPr>
          <w:rFonts w:ascii="Arial" w:cs="Arial" w:eastAsia="Arial" w:hAnsi="Arial"/>
          <w:sz w:val="16"/>
          <w:szCs w:val="16"/>
          <w:rtl w:val="0"/>
        </w:rPr>
        <w:t xml:space="preserve"> Superintendência da Juventude, Cultura, Esporte e Lazer - SEJUCEL,</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eventual </w:t>
      </w:r>
      <w:r w:rsidDel="00000000" w:rsidR="00000000" w:rsidRPr="00000000">
        <w:rPr>
          <w:rFonts w:ascii="Arial" w:cs="Arial" w:eastAsia="Arial" w:hAnsi="Arial"/>
          <w:b w:val="1"/>
          <w:sz w:val="16"/>
          <w:szCs w:val="16"/>
          <w:rtl w:val="0"/>
        </w:rPr>
        <w:t xml:space="preserve">Contratação de empresa especializada em confecção de materiais de divulgação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color w:val="000000"/>
          <w:sz w:val="16"/>
          <w:szCs w:val="16"/>
          <w:rtl w:val="0"/>
        </w:rPr>
        <w:t xml:space="preserve">, a pedido da</w:t>
      </w:r>
      <w:r w:rsidDel="00000000" w:rsidR="00000000" w:rsidRPr="00000000">
        <w:rPr>
          <w:rFonts w:ascii="Arial" w:cs="Arial" w:eastAsia="Arial" w:hAnsi="Arial"/>
          <w:sz w:val="16"/>
          <w:szCs w:val="16"/>
          <w:rtl w:val="0"/>
        </w:rPr>
        <w:t xml:space="preserve"> Superintendência da Juventude, Cultura, Esporte e Lazer – SEJUCEL.</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poderá ser realizada de forma parcelada, de acordo com as necessidades desta SEJUCEL.</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6.3.1. Os materiais solicitados deverão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ser entregues mediante quantidade descrita na nota de empenho - NE, no prazo estabelecido de acordo com as necessidades desta SEJUCEL.</w:t>
      </w:r>
      <w:r w:rsidDel="00000000" w:rsidR="00000000" w:rsidRPr="00000000">
        <w:rPr>
          <w:rtl w:val="0"/>
        </w:rPr>
      </w:r>
    </w:p>
    <w:p w:rsidR="00000000" w:rsidDel="00000000" w:rsidP="00000000" w:rsidRDefault="00000000" w:rsidRPr="00000000" w14:paraId="00000026">
      <w:pPr>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6.4. DO LOCAL DE ENTREGA: entregue na Superintendência da Juventude, Cultura, Esporte e Lazer, situada na Avenida Farquar s/n, Bairro Pedrinhas, palácio Rio Madeira, Edifício Rio Cautário 5º Andar, CEP: 76.801-468 – Porto Velho/RO, aos cuidados da Coordenadoria Administrativa e Financeira – CAF/SEJUCEL, de segunda à sexta-feira, no horário das 7h30min às 13h30min.</w:t>
      </w: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60" w:right="60" w:firstLine="0"/>
        <w:jc w:val="lef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DAS SANÇÕES ADMINISTRATIVAS E MULTA:</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Sem prejuízo das sanções cominadas no artigo 87, I,III e IV da Lei nº8666/93,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A adjucatária recusar-se a retirar o instrumento contratual injustificadamente ou se não apresentar situação regular na ocasião dos recebimentos, garantida a prévia e ampla defesa, aplicar a Contratada multa de até 10% (dez por cento) sobre o valor inadimplido;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CAGEFIMP (Cadastro de Fornecedores Impedidos de Licitar e Contratar com a Administração Pública Estadua);</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São exemplo de infração administrativa penalizáveis, nos ermos da Lei n.º 8.666/93, da Lei nº 10.520/02, do Decreto nº 3.555/00 e do Decreto nº 5.540/05:Inexecução total ou parcial do contrato;</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Apresentação de documentação falsa;</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Comportamento inidôneo;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Fraude fiscal;</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 Descumprimento de qualquer dos deveres elencados no edital ou no contrato;</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9.1.10. Para efeito de aplicação de multas, às infrações são atribuídas graus, com percentuais de multas conforme a tabela a seguir, que elenca apenas as principais situações previstas, não eximindo de outras equivalentes que surgirem, conforme o caso:</w:t>
      </w:r>
    </w:p>
    <w:tbl>
      <w:tblPr>
        <w:tblStyle w:val="Table1"/>
        <w:tblW w:w="977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965"/>
        <w:gridCol w:w="890"/>
        <w:gridCol w:w="1100"/>
        <w:tblGridChange w:id="0">
          <w:tblGrid>
            <w:gridCol w:w="815"/>
            <w:gridCol w:w="6965"/>
            <w:gridCol w:w="890"/>
            <w:gridCol w:w="1100"/>
          </w:tblGrid>
        </w:tblGridChange>
      </w:tblGrid>
      <w:tr>
        <w:trPr>
          <w:trHeight w:val="485" w:hRule="atLeast"/>
        </w:trPr>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o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de serviço ou substituição de materiais, por ocorrência.</w:t>
            </w:r>
          </w:p>
        </w:tc>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funcionário sem qualificação para executar os serviços contratados, por empregado e por dia;</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Retirar funcionários ou encarregados do serviço durante o expediente, sem a anuência prévia da CONTRATANTE, por empregado e por dia;</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bl>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a parcela inadimplida.</w:t>
      </w:r>
    </w:p>
    <w:p w:rsidR="00000000" w:rsidDel="00000000" w:rsidP="00000000" w:rsidRDefault="00000000" w:rsidRPr="00000000" w14:paraId="0000006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9.1.11. As sanções aqui previstas poderão ser aplicadas concomitantemente, facultada a defesa prévia do interessado no respectivo processo, no prazo de 5 (cinco) dias úteis.</w:t>
      </w:r>
    </w:p>
    <w:p w:rsidR="00000000" w:rsidDel="00000000" w:rsidP="00000000" w:rsidRDefault="00000000" w:rsidRPr="00000000" w14:paraId="0000006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9.1.12. Após atraso ou falta de execução do objeto dentro do período solicitado, será considerada inexecução total do contrato, o que ensejará a rescisão contratual;</w:t>
      </w:r>
    </w:p>
    <w:p w:rsidR="00000000" w:rsidDel="00000000" w:rsidP="00000000" w:rsidRDefault="00000000" w:rsidRPr="00000000" w14:paraId="0000006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6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9.1.16. A sanção será obrigatoriamente registrada no Sistema de Cadastramento Unificado de Fornecedores – SICAF, bem como em sistemas Estaduais;</w:t>
      </w:r>
    </w:p>
    <w:p w:rsidR="00000000" w:rsidDel="00000000" w:rsidP="00000000" w:rsidRDefault="00000000" w:rsidRPr="00000000" w14:paraId="0000007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9.1.17. Tratando-se de sanção do Art. 7º da Lei nº 10.520/02, os seus efeitos recaem apenas na esfera administrativa do órgão que a aplicou.</w:t>
      </w:r>
    </w:p>
    <w:p w:rsidR="00000000" w:rsidDel="00000000" w:rsidP="00000000" w:rsidRDefault="00000000" w:rsidRPr="00000000" w14:paraId="0000007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7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7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7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8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8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8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8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8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8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8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9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9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9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9C">
      <w:pPr>
        <w:rPr>
          <w:rFonts w:ascii="Arial" w:cs="Arial" w:eastAsia="Arial" w:hAnsi="Arial"/>
          <w:sz w:val="16"/>
          <w:szCs w:val="16"/>
        </w:rPr>
      </w:pPr>
      <w:r w:rsidDel="00000000" w:rsidR="00000000" w:rsidRPr="00000000">
        <w:rPr>
          <w:rFonts w:ascii="Arial" w:cs="Arial" w:eastAsia="Arial" w:hAnsi="Arial"/>
          <w:sz w:val="16"/>
          <w:szCs w:val="16"/>
          <w:rtl w:val="0"/>
        </w:rPr>
        <w:t xml:space="preserve">SEJUCEL – Superintendência da Juventude, Cultura, Esporte e Lazer.</w:t>
      </w:r>
    </w:p>
    <w:p w:rsidR="00000000" w:rsidDel="00000000" w:rsidP="00000000" w:rsidRDefault="00000000" w:rsidRPr="00000000" w14:paraId="0000009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E">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9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A3">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4">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A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A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A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A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C">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A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A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1">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5/Qf1MdQE7DRqeHOYqEFwYD6tQ==">AMUW2mXZCvk2asuVS3abTDm2jVMWVceO0iY3L8LSDhrPyS/oWK1rrWvi9gQNYAWrQNL+SG5wvpvgHZzm4wEwgIfkIFVmbWtSM83gg/ZQ/QV3DTwyduvmpjVKhHAGZfeFxjRzSolvBz+S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