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6">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140/2020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365/2019</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0032.288018/2019-74</w:t>
      </w:r>
    </w:p>
    <w:p w:rsidR="00000000" w:rsidDel="00000000" w:rsidP="00000000" w:rsidRDefault="00000000" w:rsidRPr="00000000" w14:paraId="0000000A">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para futura e eventual aquisição de material de consumo (Materiais Esportivos)</w:t>
      </w:r>
      <w:r w:rsidDel="00000000" w:rsidR="00000000" w:rsidRPr="00000000">
        <w:rPr>
          <w:rFonts w:ascii="Arial" w:cs="Arial" w:eastAsia="Arial" w:hAnsi="Arial"/>
          <w:color w:val="000000"/>
          <w:sz w:val="16"/>
          <w:szCs w:val="16"/>
          <w:rtl w:val="0"/>
        </w:rPr>
        <w:t xml:space="preserve">, a pedido da</w:t>
      </w:r>
      <w:r w:rsidDel="00000000" w:rsidR="00000000" w:rsidRPr="00000000">
        <w:rPr>
          <w:rFonts w:ascii="Arial" w:cs="Arial" w:eastAsia="Arial" w:hAnsi="Arial"/>
          <w:sz w:val="16"/>
          <w:szCs w:val="16"/>
          <w:rtl w:val="0"/>
        </w:rPr>
        <w:t xml:space="preserve"> Superintendência da Juventude, Cultura, Esporte e Lazer - SEJUCEL,</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Para futura e eventual aquisição de material de consumo (Materiais Esportivos)</w:t>
      </w:r>
      <w:r w:rsidDel="00000000" w:rsidR="00000000" w:rsidRPr="00000000">
        <w:rPr>
          <w:rFonts w:ascii="Arial" w:cs="Arial" w:eastAsia="Arial" w:hAnsi="Arial"/>
          <w:color w:val="000000"/>
          <w:sz w:val="16"/>
          <w:szCs w:val="16"/>
          <w:rtl w:val="0"/>
        </w:rPr>
        <w:t xml:space="preserve">, a pedido da</w:t>
      </w:r>
      <w:r w:rsidDel="00000000" w:rsidR="00000000" w:rsidRPr="00000000">
        <w:rPr>
          <w:rFonts w:ascii="Arial" w:cs="Arial" w:eastAsia="Arial" w:hAnsi="Arial"/>
          <w:sz w:val="16"/>
          <w:szCs w:val="16"/>
          <w:rtl w:val="0"/>
        </w:rPr>
        <w:t xml:space="preserve"> Superintendência da Juventude, Cultura, Esporte e Lazer – SEJUCEL.</w:t>
      </w:r>
    </w:p>
    <w:p w:rsidR="00000000" w:rsidDel="00000000" w:rsidP="00000000" w:rsidRDefault="00000000" w:rsidRPr="00000000" w14:paraId="0000000F">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Os objetos deverão ser entregues no </w:t>
      </w:r>
      <w:r w:rsidDel="00000000" w:rsidR="00000000" w:rsidRPr="00000000">
        <w:rPr>
          <w:rFonts w:ascii="Arial" w:cs="Arial" w:eastAsia="Arial" w:hAnsi="Arial"/>
          <w:b w:val="1"/>
          <w:color w:val="000000"/>
          <w:sz w:val="16"/>
          <w:szCs w:val="16"/>
          <w:u w:val="single"/>
          <w:rtl w:val="0"/>
        </w:rPr>
        <w:t xml:space="preserve">prazo de até 30 (trinta) dias corridos</w:t>
      </w:r>
      <w:r w:rsidDel="00000000" w:rsidR="00000000" w:rsidRPr="00000000">
        <w:rPr>
          <w:rFonts w:ascii="Arial" w:cs="Arial" w:eastAsia="Arial" w:hAnsi="Arial"/>
          <w:color w:val="000000"/>
          <w:sz w:val="16"/>
          <w:szCs w:val="16"/>
          <w:rtl w:val="0"/>
        </w:rPr>
        <w:t xml:space="preserve">, após o recebimento da Nota de Emprenho/NE.</w:t>
      </w:r>
    </w:p>
    <w:p w:rsidR="00000000" w:rsidDel="00000000" w:rsidP="00000000" w:rsidRDefault="00000000" w:rsidRPr="00000000" w14:paraId="00000025">
      <w:pPr>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6.4. DO LOCAL DE ENTREGA: </w:t>
      </w:r>
      <w:r w:rsidDel="00000000" w:rsidR="00000000" w:rsidRPr="00000000">
        <w:rPr>
          <w:rFonts w:ascii="Arial" w:cs="Arial" w:eastAsia="Arial" w:hAnsi="Arial"/>
          <w:color w:val="000000"/>
          <w:sz w:val="16"/>
          <w:szCs w:val="16"/>
          <w:rtl w:val="0"/>
        </w:rPr>
        <w:t xml:space="preserve">O</w:t>
      </w:r>
      <w:r w:rsidDel="00000000" w:rsidR="00000000" w:rsidRPr="00000000">
        <w:rPr>
          <w:rFonts w:ascii="Arial" w:cs="Arial" w:eastAsia="Arial" w:hAnsi="Arial"/>
          <w:sz w:val="16"/>
          <w:szCs w:val="16"/>
          <w:rtl w:val="0"/>
        </w:rPr>
        <w:t xml:space="preserve">s objetos deverão ser entregues, na Coordenadoria Administrativa e Financeira da Superintendência da Juventude, Cultura, Esporte e Lazer - SEJUCEL, com sede no Palácio Rio Madeira – Edifício Rio Guaporé, Reto 01 – Av. Farquar, Bairro: Pedrinhas, Palácio Rio Madeira – Porto Velho - Rondônia, Fone: 3216-5132. Ou em outro local, previamente informado ao fornecedor. No </w:t>
      </w:r>
      <w:r w:rsidDel="00000000" w:rsidR="00000000" w:rsidRPr="00000000">
        <w:rPr>
          <w:rFonts w:ascii="Arial" w:cs="Arial" w:eastAsia="Arial" w:hAnsi="Arial"/>
          <w:b w:val="1"/>
          <w:sz w:val="16"/>
          <w:szCs w:val="16"/>
          <w:rtl w:val="0"/>
        </w:rPr>
        <w:t xml:space="preserve">Horário de 07h30min às 13h30min de Segunda a Sexta Feira</w:t>
      </w:r>
      <w:r w:rsidDel="00000000" w:rsidR="00000000" w:rsidRPr="00000000">
        <w:rPr>
          <w:rFonts w:ascii="Arial" w:cs="Arial" w:eastAsia="Arial" w:hAnsi="Arial"/>
          <w:sz w:val="16"/>
          <w:szCs w:val="16"/>
          <w:rtl w:val="0"/>
        </w:rPr>
        <w:t xml:space="preserve">. Neste local terá uma comissão de recebimento que verificará o material antes de recebê-lo.</w:t>
      </w: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60" w:right="60" w:firstLine="0"/>
        <w:jc w:val="left"/>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DAS SANÇÕES ADMINISTRATIVAS E MULTA:</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Sem prejuízo das sanções cominadas no artigo 87, I,III e IV da Lei nº8666/93, pela inexecução total ou parcial do contrato, a Administração poderá, garantida a prévia e ampla defesa, aplicar à Contratada multa de até 10% (dez por cento) sobre a parcela inadimplida;</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 adjucatária recusar-se a retirar o instrumento contratual injustificadamente ou se não apresentar situação regular na ocasião dos recebimentos, garantida a prévia e ampla defesa, aplicar a Contratada multa de até 10% (dez por cento) sobre o valor inadimplido;</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ficara impedida de licitar e contratar com o Estado, e será descredenciado no Cadastro de Fornecedores Estadual, pelo prazo de até 5 (cinco) anos, sem prejuízo das multas previstas no Edital e demais cominações legais, devendo ser incluída a penalidade no SICAFI e no CAGEFIMP (Cadastro de Fornecedores Impedidos de Licitar e Contratar com a Administração Pública Estadua);</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 multa, eventualmente imposta à Contratada, será automaticamente descontada da fatura a que fizer jus, acrescida de juros moratório de 1% (um por cento) ao mês. Caso a contratada não tenha nenhum valor a receber do Estado, ser-lhe-á concedido prazo de 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As multas previstas nessa seção não eximem a adjudicatária ou contratada da reparação dos eventuais danos, perdas ou prejuízos que seu ato punível venha a causar à Administração;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9.1.8. São exemplo de infração administrativa penalizáveis, nos ermos da Lei n.º 8.666/93, da Lei nº 10.520/02, do Decreto nº 3.555/00 e do Decreto nº 5.540/05:Inexecução total ou parcial do contrato;</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Apresentação de documentação falsa;</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Comportamento inidôneo;</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Fraude fiscal;</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Descumprimento de qualquer dos deveres elencados no edital ou no contrato;</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9.1.9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9.1.10. Para efeito de aplicação de multas, às infrações são atribuídas graus, com percentuais de multas conforme a tabela a seguir, que elenca apenas as principais situações previstas, não eximindo de outras equivalentes que surgirem, conforme o caso:</w:t>
      </w:r>
    </w:p>
    <w:tbl>
      <w:tblPr>
        <w:tblStyle w:val="Table1"/>
        <w:tblW w:w="974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65"/>
        <w:gridCol w:w="6455"/>
        <w:gridCol w:w="1055"/>
        <w:gridCol w:w="1265"/>
        <w:tblGridChange w:id="0">
          <w:tblGrid>
            <w:gridCol w:w="965"/>
            <w:gridCol w:w="6455"/>
            <w:gridCol w:w="1055"/>
            <w:gridCol w:w="1265"/>
          </w:tblGrid>
        </w:tblGridChange>
      </w:tblGrid>
      <w:tr>
        <w:trPr>
          <w:trHeight w:val="755" w:hRule="atLeast"/>
        </w:trPr>
        <w:tc>
          <w:tcPr>
            <w:tcMar>
              <w:top w:w="100.0" w:type="dxa"/>
              <w:left w:w="100.0" w:type="dxa"/>
              <w:bottom w:w="100.0" w:type="dxa"/>
              <w:right w:w="100.0" w:type="dxa"/>
            </w:tcMar>
            <w:vAlign w:val="top"/>
          </w:tcPr>
          <w:p w:rsidR="00000000" w:rsidDel="00000000" w:rsidP="00000000" w:rsidRDefault="00000000" w:rsidRPr="00000000" w14:paraId="0000004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MULTA*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4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conseqüências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4 %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4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4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serviços contratuais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4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5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5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o serviço determinado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5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Executar serviço incompleto,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5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Mar>
              <w:top w:w="100.0" w:type="dxa"/>
              <w:left w:w="100.0" w:type="dxa"/>
              <w:bottom w:w="100.0" w:type="dxa"/>
              <w:right w:w="100.0" w:type="dxa"/>
            </w:tcMar>
            <w:vAlign w:val="top"/>
          </w:tcPr>
          <w:p w:rsidR="00000000" w:rsidDel="00000000" w:rsidP="00000000" w:rsidRDefault="00000000" w:rsidRPr="00000000" w14:paraId="0000005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de serviço ou substituição de materiais, por ocorrência.</w:t>
            </w:r>
          </w:p>
        </w:tc>
        <w:tc>
          <w:tcPr>
            <w:tcMar>
              <w:top w:w="100.0" w:type="dxa"/>
              <w:left w:w="100.0" w:type="dxa"/>
              <w:bottom w:w="100.0" w:type="dxa"/>
              <w:right w:w="100.0" w:type="dxa"/>
            </w:tcMar>
            <w:vAlign w:val="top"/>
          </w:tcPr>
          <w:p w:rsidR="00000000" w:rsidDel="00000000" w:rsidP="00000000" w:rsidRDefault="00000000" w:rsidRPr="00000000" w14:paraId="0000005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6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6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Mar>
              <w:top w:w="100.0" w:type="dxa"/>
              <w:left w:w="100.0" w:type="dxa"/>
              <w:bottom w:w="100.0" w:type="dxa"/>
              <w:right w:w="100.0" w:type="dxa"/>
            </w:tcMar>
            <w:vAlign w:val="top"/>
          </w:tcPr>
          <w:p w:rsidR="00000000" w:rsidDel="00000000" w:rsidP="00000000" w:rsidRDefault="00000000" w:rsidRPr="00000000" w14:paraId="0000006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funcionário sem qualificação para executar os serviços contratados, por empregado e por dia;</w:t>
            </w:r>
          </w:p>
        </w:tc>
        <w:tc>
          <w:tcPr>
            <w:tcMar>
              <w:top w:w="100.0" w:type="dxa"/>
              <w:left w:w="100.0" w:type="dxa"/>
              <w:bottom w:w="100.0" w:type="dxa"/>
              <w:right w:w="100.0" w:type="dxa"/>
            </w:tcMar>
            <w:vAlign w:val="top"/>
          </w:tcPr>
          <w:p w:rsidR="00000000" w:rsidDel="00000000" w:rsidP="00000000" w:rsidRDefault="00000000" w:rsidRPr="00000000" w14:paraId="0000006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Mar>
              <w:top w:w="100.0" w:type="dxa"/>
              <w:left w:w="100.0" w:type="dxa"/>
              <w:bottom w:w="100.0" w:type="dxa"/>
              <w:right w:w="100.0" w:type="dxa"/>
            </w:tcMar>
            <w:vAlign w:val="top"/>
          </w:tcPr>
          <w:p w:rsidR="00000000" w:rsidDel="00000000" w:rsidP="00000000" w:rsidRDefault="00000000" w:rsidRPr="00000000" w14:paraId="0000006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6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Retirar funcionários ou encarregados do serviço durante o expediente, sem a anuência prévia da CONTRATANTE, por empregado e por dia;</w:t>
            </w:r>
          </w:p>
        </w:tc>
        <w:tc>
          <w:tcPr>
            <w:tcMar>
              <w:top w:w="100.0" w:type="dxa"/>
              <w:left w:w="100.0" w:type="dxa"/>
              <w:bottom w:w="100.0" w:type="dxa"/>
              <w:right w:w="100.0" w:type="dxa"/>
            </w:tcMar>
            <w:vAlign w:val="top"/>
          </w:tcPr>
          <w:p w:rsidR="00000000" w:rsidDel="00000000" w:rsidP="00000000" w:rsidRDefault="00000000" w:rsidRPr="00000000" w14:paraId="0000006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Mar>
              <w:top w:w="100.0" w:type="dxa"/>
              <w:left w:w="100.0" w:type="dxa"/>
              <w:bottom w:w="100.0" w:type="dxa"/>
              <w:right w:w="100.0" w:type="dxa"/>
            </w:tcMar>
            <w:vAlign w:val="top"/>
          </w:tcPr>
          <w:p w:rsidR="00000000" w:rsidDel="00000000" w:rsidP="00000000" w:rsidRDefault="00000000" w:rsidRPr="00000000" w14:paraId="0000006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bl>
    <w:p w:rsidR="00000000" w:rsidDel="00000000" w:rsidP="00000000" w:rsidRDefault="00000000" w:rsidRPr="00000000" w14:paraId="0000006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*Incidente sobre a parcela inadimplida.</w:t>
      </w:r>
    </w:p>
    <w:p w:rsidR="00000000" w:rsidDel="00000000" w:rsidP="00000000" w:rsidRDefault="00000000" w:rsidRPr="00000000" w14:paraId="0000006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9.1.11. As sanções aqui previstas poderão ser aplicadas concomitantemente, facultada a defesa prévia do interessado no respectivo processo, no prazo de 5 (cinco) dias úteis.</w:t>
      </w:r>
    </w:p>
    <w:p w:rsidR="00000000" w:rsidDel="00000000" w:rsidP="00000000" w:rsidRDefault="00000000" w:rsidRPr="00000000" w14:paraId="0000006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9.1.12. Após atraso ou falta de execução do objeto dentro do período solicitado, será considerada inexecução total do contrato, o que ensejará a rescisão contratual;</w:t>
      </w:r>
    </w:p>
    <w:p w:rsidR="00000000" w:rsidDel="00000000" w:rsidP="00000000" w:rsidRDefault="00000000" w:rsidRPr="00000000" w14:paraId="0000006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6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9.1.14As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6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9.1.15. A autoridade competente, na aplicação das sanções, levará em consideração a gravidade da conduta do infrator, o caráter educativo da pena, bem como o dano causado à Administração, observando o princípio da proporcionalidade;</w:t>
      </w:r>
    </w:p>
    <w:p w:rsidR="00000000" w:rsidDel="00000000" w:rsidP="00000000" w:rsidRDefault="00000000" w:rsidRPr="00000000" w14:paraId="0000006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9.1.16. A sanção será obrigatoriamente registrada no Sistema de Cadastramento Unificado de Fornecedores – SICAF, bem como em sistemas Estaduais.</w:t>
      </w:r>
    </w:p>
    <w:p w:rsidR="00000000" w:rsidDel="00000000" w:rsidP="00000000" w:rsidRDefault="00000000" w:rsidRPr="00000000" w14:paraId="0000007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71">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72">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73">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74">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7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79">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A">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4">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8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8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8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8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8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8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8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8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8F">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9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9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9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9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9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9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9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9A">
      <w:pPr>
        <w:rPr>
          <w:rFonts w:ascii="Arial" w:cs="Arial" w:eastAsia="Arial" w:hAnsi="Arial"/>
          <w:sz w:val="16"/>
          <w:szCs w:val="16"/>
        </w:rPr>
      </w:pPr>
      <w:r w:rsidDel="00000000" w:rsidR="00000000" w:rsidRPr="00000000">
        <w:rPr>
          <w:rFonts w:ascii="Arial" w:cs="Arial" w:eastAsia="Arial" w:hAnsi="Arial"/>
          <w:sz w:val="16"/>
          <w:szCs w:val="16"/>
          <w:rtl w:val="0"/>
        </w:rPr>
        <w:t xml:space="preserve">SEJUCEL – Superintendência da Juventude, Cultura, Esporte e Lazer.</w:t>
      </w:r>
    </w:p>
    <w:p w:rsidR="00000000" w:rsidDel="00000000" w:rsidP="00000000" w:rsidRDefault="00000000" w:rsidRPr="00000000" w14:paraId="0000009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9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9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9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9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A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A1">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2">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A3">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4">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5">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A6">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7">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A8">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A9">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A">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B">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A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AD">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E">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F">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FRA/SRP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qFormat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table" w:styleId="TableNormal" w:customStyle="1">
    <w:name w:val="Table Normal"/>
    <w:uiPriority w:val="2"/>
    <w:semiHidden w:val="1"/>
    <w:unhideWhenUsed w:val="1"/>
    <w:qFormat w:val="1"/>
    <w:rsid w:val="005B072C"/>
    <w:pPr>
      <w:widowControl w:val="0"/>
      <w:autoSpaceDE w:val="0"/>
      <w:autoSpaceDN w:val="0"/>
      <w:spacing w:after="0" w:line="240" w:lineRule="auto"/>
    </w:pPr>
    <w:rPr>
      <w:rFonts w:asciiTheme="minorHAnsi" w:cstheme="minorBidi" w:eastAsiaTheme="minorHAnsi" w:hAnsiTheme="minorHAnsi"/>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5B072C"/>
    <w:pPr>
      <w:widowControl w:val="0"/>
      <w:autoSpaceDE w:val="0"/>
      <w:autoSpaceDN w:val="0"/>
    </w:pPr>
    <w:rPr>
      <w:rFonts w:ascii="Garamond" w:cs="Garamond" w:eastAsia="Garamond" w:hAnsi="Garamond"/>
      <w:sz w:val="22"/>
      <w:szCs w:val="22"/>
      <w:lang w:eastAsia="en-US" w:val="en-US"/>
    </w:rPr>
  </w:style>
  <w:style w:type="paragraph" w:styleId="tabelatexto8alinhadoesquerda" w:customStyle="1">
    <w:name w:val="tabela_texto_8_alinhado_esquerda"/>
    <w:basedOn w:val="Normal"/>
    <w:rsid w:val="00545D39"/>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k2d8eqCIZ/PbfRzwiKWseoVBXA==">AMUW2mWzSfjZTadcCuI0x0gK6x9u/zqNcJJDl8bqPz8HoaTthFJlhjohXtgNEjYmhWI7GgPr9CNT3g8QtGqXb5cPKKxAvBAN2DmMdH0LOUNNdffn6IPOUqP44fY9S9vKLcXK19E4SrAs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2020-03-03T13:49:00Z</dcterms:created>
  <dc:creator>SESAU</dc:creator>
</cp:coreProperties>
</file>