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129/2020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068/2020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0029.547066/2019-69</w:t>
      </w:r>
    </w:p>
    <w:p w:rsidR="00000000" w:rsidDel="00000000" w:rsidP="00000000" w:rsidRDefault="00000000" w:rsidRPr="00000000" w14:paraId="00000009">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 </w:t>
      </w:r>
      <w:r w:rsidDel="00000000" w:rsidR="00000000" w:rsidRPr="00000000">
        <w:rPr>
          <w:rFonts w:ascii="Arial" w:cs="Arial" w:eastAsia="Arial" w:hAnsi="Arial"/>
          <w:sz w:val="16"/>
          <w:szCs w:val="16"/>
          <w:rtl w:val="0"/>
        </w:rPr>
        <w:t xml:space="preserve">futura e eventual contratação de empresa especializada na prestação de Serviços de Locação de Auditórios, Salas de Eventos, Hospedagens e Fornecimento de Alimentação (almoço, jantar, coffe-break, água mineral e cafezinho), para atendimento de eventos a serem promovidos pela Secretaria de Estado da Educação - SEDUC, nos municípios de </w:t>
      </w:r>
      <w:r w:rsidDel="00000000" w:rsidR="00000000" w:rsidRPr="00000000">
        <w:rPr>
          <w:rFonts w:ascii="Arial" w:cs="Arial" w:eastAsia="Arial" w:hAnsi="Arial"/>
          <w:b w:val="1"/>
          <w:sz w:val="16"/>
          <w:szCs w:val="16"/>
          <w:rtl w:val="0"/>
        </w:rPr>
        <w:t xml:space="preserve">Ariquemes, Cacoal, Ji Paraná e Vilhena</w:t>
      </w:r>
      <w:r w:rsidDel="00000000" w:rsidR="00000000" w:rsidRPr="00000000">
        <w:rPr>
          <w:rFonts w:ascii="Arial" w:cs="Arial" w:eastAsia="Arial" w:hAnsi="Arial"/>
          <w:sz w:val="16"/>
          <w:szCs w:val="16"/>
          <w:rtl w:val="0"/>
        </w:rPr>
        <w:t xml:space="preserve">, , a pedido da Secretaria de Estado da Educação - SEDUC,</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contratação de empresa especializada na prestação de Serviços de Locação de Auditórios, Salas de Eventos, Hospedagens e Fornecimento de Alimentação (almoço, jantar, coffe-break, água mineral e cafezinho), para atendimento de eventos a serem promovidos pela Secretaria de Estado da Educação - SEDUC, nos municípios de </w:t>
      </w:r>
      <w:r w:rsidDel="00000000" w:rsidR="00000000" w:rsidRPr="00000000">
        <w:rPr>
          <w:rFonts w:ascii="Arial" w:cs="Arial" w:eastAsia="Arial" w:hAnsi="Arial"/>
          <w:b w:val="1"/>
          <w:sz w:val="16"/>
          <w:szCs w:val="16"/>
          <w:rtl w:val="0"/>
        </w:rPr>
        <w:t xml:space="preserve">Ariquemes, Cacoal, Ji Paraná e Vilhena</w:t>
      </w:r>
      <w:r w:rsidDel="00000000" w:rsidR="00000000" w:rsidRPr="00000000">
        <w:rPr>
          <w:rFonts w:ascii="Arial" w:cs="Arial" w:eastAsia="Arial" w:hAnsi="Arial"/>
          <w:sz w:val="16"/>
          <w:szCs w:val="16"/>
          <w:rtl w:val="0"/>
        </w:rPr>
        <w:t xml:space="preserve">,  a pedido da Secretaria de Estado da Educação - SEDUC.</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Os serviços deverão ser iniciados na data programada do evento, conforme disposições definidas na Ordem de Serviço.</w:t>
      </w:r>
    </w:p>
    <w:p w:rsidR="00000000" w:rsidDel="00000000" w:rsidP="00000000" w:rsidRDefault="00000000" w:rsidRPr="00000000" w14:paraId="0000002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6.2.1. </w:t>
      </w:r>
      <w:r w:rsidDel="00000000" w:rsidR="00000000" w:rsidRPr="00000000">
        <w:rPr>
          <w:rFonts w:ascii="Arial" w:cs="Arial" w:eastAsia="Arial" w:hAnsi="Arial"/>
          <w:sz w:val="16"/>
          <w:szCs w:val="16"/>
          <w:rtl w:val="0"/>
        </w:rPr>
        <w:t xml:space="preserve">A Ordem de Serviço deverá ser encaminhada </w:t>
      </w:r>
      <w:r w:rsidDel="00000000" w:rsidR="00000000" w:rsidRPr="00000000">
        <w:rPr>
          <w:rFonts w:ascii="Arial" w:cs="Arial" w:eastAsia="Arial" w:hAnsi="Arial"/>
          <w:b w:val="1"/>
          <w:sz w:val="16"/>
          <w:szCs w:val="16"/>
          <w:rtl w:val="0"/>
        </w:rPr>
        <w:t xml:space="preserve">até 10 (dez) dias</w:t>
      </w:r>
      <w:r w:rsidDel="00000000" w:rsidR="00000000" w:rsidRPr="00000000">
        <w:rPr>
          <w:rFonts w:ascii="Arial" w:cs="Arial" w:eastAsia="Arial" w:hAnsi="Arial"/>
          <w:sz w:val="16"/>
          <w:szCs w:val="16"/>
          <w:rtl w:val="0"/>
        </w:rPr>
        <w:t xml:space="preserve">, antes da data programada do evento.</w:t>
      </w:r>
    </w:p>
    <w:p w:rsidR="00000000" w:rsidDel="00000000" w:rsidP="00000000" w:rsidRDefault="00000000" w:rsidRPr="00000000" w14:paraId="0000002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6.2.2. </w:t>
      </w:r>
      <w:r w:rsidDel="00000000" w:rsidR="00000000" w:rsidRPr="00000000">
        <w:rPr>
          <w:rFonts w:ascii="Arial" w:cs="Arial" w:eastAsia="Arial" w:hAnsi="Arial"/>
          <w:sz w:val="16"/>
          <w:szCs w:val="16"/>
          <w:rtl w:val="0"/>
        </w:rPr>
        <w:t xml:space="preserve">O prazo início dos serviços somente</w:t>
      </w:r>
      <w:r w:rsidDel="00000000" w:rsidR="00000000" w:rsidRPr="00000000">
        <w:rPr>
          <w:rFonts w:ascii="Arial" w:cs="Arial" w:eastAsia="Arial" w:hAnsi="Arial"/>
          <w:b w:val="1"/>
          <w:sz w:val="16"/>
          <w:szCs w:val="16"/>
          <w:rtl w:val="0"/>
        </w:rPr>
        <w:t xml:space="preserve"> poderá ser prorrogado</w:t>
      </w:r>
      <w:r w:rsidDel="00000000" w:rsidR="00000000" w:rsidRPr="00000000">
        <w:rPr>
          <w:rFonts w:ascii="Arial" w:cs="Arial" w:eastAsia="Arial" w:hAnsi="Arial"/>
          <w:sz w:val="16"/>
          <w:szCs w:val="16"/>
          <w:rtl w:val="0"/>
        </w:rPr>
        <w:t xml:space="preserve"> mediante o cumprimento, pela Contratada, dos seguintes requisitos cumulativos:</w:t>
      </w:r>
    </w:p>
    <w:p w:rsidR="00000000" w:rsidDel="00000000" w:rsidP="00000000" w:rsidRDefault="00000000" w:rsidRPr="00000000" w14:paraId="0000002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Solicitação de prorrogação protocolada dentro do prazo de início dos serviços;</w:t>
      </w:r>
    </w:p>
    <w:p w:rsidR="00000000" w:rsidDel="00000000" w:rsidP="00000000" w:rsidRDefault="00000000" w:rsidRPr="00000000" w14:paraId="0000002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Comprovação documental da ocorrência de motivo imprevisível (caso fortuito, força maior ou fato do príncipe), ocorrido depois da apresentação de sua proposta, que tenha correlação direta de causa e efeito sobre a necessidade do atraso.</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Os serviços, objeto desta licitação, deverão ser realizados na zona urbana dos municípios de Ariquemes, Cacoal, Ji Paraná e Vilhena,</w:t>
      </w:r>
      <w:r w:rsidDel="00000000" w:rsidR="00000000" w:rsidRPr="00000000">
        <w:rPr>
          <w:rtl w:val="0"/>
        </w:rPr>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Além daquelas determinadas por leis, decretos, regulamentos e demais dispositivos legais, a CONTRATADA estará sujeita as sanções definidas neste Termo de Referência.</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Sem prejuízo das sanções cominadas no art. 87, I, III e IV, da Lei nº 8.666/93, pela inexecução total ou parcial do instrumento de contrato, a Contratante poderá, garantida a prévia e ampla defesa, aplicar à </w:t>
      </w:r>
      <w:r w:rsidDel="00000000" w:rsidR="00000000" w:rsidRPr="00000000">
        <w:rPr>
          <w:rFonts w:ascii="Arial" w:cs="Arial" w:eastAsia="Arial" w:hAnsi="Arial"/>
          <w:b w:val="1"/>
          <w:sz w:val="16"/>
          <w:szCs w:val="16"/>
          <w:rtl w:val="0"/>
        </w:rPr>
        <w:t xml:space="preserve">Contratada multa (Tabela – Item 9.11), </w:t>
      </w:r>
      <w:r w:rsidDel="00000000" w:rsidR="00000000" w:rsidRPr="00000000">
        <w:rPr>
          <w:rFonts w:ascii="Arial" w:cs="Arial" w:eastAsia="Arial" w:hAnsi="Arial"/>
          <w:sz w:val="16"/>
          <w:szCs w:val="16"/>
          <w:rtl w:val="0"/>
        </w:rPr>
        <w:t xml:space="preserve">sobre a parcela inadimplida do contrato.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Se a adjudicatária se recusar a retirar o instrumento contratual injustificadamente ou se não apresentar situação regular na ocasião dos recebimentos, garantida a prévia e ampla defesa, aplicar à Contratada multa de até 10% (dez por cento) sobre a parcela inadimplida.</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Del="00000000" w:rsidR="00000000" w:rsidRPr="00000000">
        <w:rPr>
          <w:rFonts w:ascii="Arial" w:cs="Arial" w:eastAsia="Arial" w:hAnsi="Arial"/>
          <w:b w:val="1"/>
          <w:sz w:val="16"/>
          <w:szCs w:val="16"/>
          <w:rtl w:val="0"/>
        </w:rPr>
        <w:t xml:space="preserve">caso houver</w:t>
      </w:r>
      <w:r w:rsidDel="00000000" w:rsidR="00000000" w:rsidRPr="00000000">
        <w:rPr>
          <w:rFonts w:ascii="Arial" w:cs="Arial" w:eastAsia="Arial" w:hAnsi="Arial"/>
          <w:sz w:val="16"/>
          <w:szCs w:val="16"/>
          <w:rtl w:val="0"/>
        </w:rPr>
        <w:t xml:space="preserve">.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São exemplos de infração administrativa penalizáveis, nos termos da Lei nº 8.666, de 1993, da Lei nº 10.520, de 2002, dos Decretos Estaduais nº 12.205/06, 12.234/06 (Pregão Eletrônico e Presencial):</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65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85"/>
        <w:gridCol w:w="6020"/>
        <w:gridCol w:w="800"/>
        <w:gridCol w:w="2045"/>
        <w:tblGridChange w:id="0">
          <w:tblGrid>
            <w:gridCol w:w="785"/>
            <w:gridCol w:w="6020"/>
            <w:gridCol w:w="800"/>
            <w:gridCol w:w="2045"/>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Executar a entrega incompleta,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as determinações feitas pela FISCALIZAÇÃO, sem motivo justificado;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danos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do contrato;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10 %</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Substituir funcionários que se conduza de modo inconveniente ou não atenda às necessidades do órgão, por funcionário,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sz w:val="16"/>
                <w:szCs w:val="16"/>
                <w:rtl w:val="0"/>
              </w:rPr>
              <w:t xml:space="preserve">2 %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nos prazos estabelecidos, observados os limites mínimos estabelecidos por este Contrato;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3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Termo de Referência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3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deste contrato; por dia e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bl>
    <w:p w:rsidR="00000000" w:rsidDel="00000000" w:rsidP="00000000" w:rsidRDefault="00000000" w:rsidRPr="00000000" w14:paraId="00000081">
      <w:pPr>
        <w:spacing w:after="120" w:before="120" w:lineRule="auto"/>
        <w:ind w:left="12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 sobre a parte inadimplida.</w:t>
      </w:r>
    </w:p>
    <w:p w:rsidR="00000000" w:rsidDel="00000000" w:rsidP="00000000" w:rsidRDefault="00000000" w:rsidRPr="00000000" w14:paraId="0000008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8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Após 30 (trinta) dias da falta de execução do objeto, será considerada inexecução total do contrato, o que ensejará a rescisão contratual.</w:t>
      </w:r>
    </w:p>
    <w:p w:rsidR="00000000" w:rsidDel="00000000" w:rsidP="00000000" w:rsidRDefault="00000000" w:rsidRPr="00000000" w14:paraId="0000008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8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8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8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 </w:t>
      </w:r>
      <w:r w:rsidDel="00000000" w:rsidR="00000000" w:rsidRPr="00000000">
        <w:rPr>
          <w:rFonts w:ascii="Arial" w:cs="Arial" w:eastAsia="Arial" w:hAnsi="Arial"/>
          <w:sz w:val="16"/>
          <w:szCs w:val="16"/>
          <w:rtl w:val="0"/>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8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8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8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9.19. </w:t>
      </w:r>
      <w:r w:rsidDel="00000000" w:rsidR="00000000" w:rsidRPr="00000000">
        <w:rPr>
          <w:rFonts w:ascii="Arial" w:cs="Arial" w:eastAsia="Arial" w:hAnsi="Arial"/>
          <w:sz w:val="16"/>
          <w:szCs w:val="16"/>
          <w:rtl w:val="0"/>
        </w:rPr>
        <w:t xml:space="preserve">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00000" w:rsidDel="00000000" w:rsidP="00000000" w:rsidRDefault="00000000" w:rsidRPr="00000000" w14:paraId="0000008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9.20. </w:t>
      </w:r>
      <w:r w:rsidDel="00000000" w:rsidR="00000000" w:rsidRPr="00000000">
        <w:rPr>
          <w:rFonts w:ascii="Arial" w:cs="Arial" w:eastAsia="Arial" w:hAnsi="Arial"/>
          <w:sz w:val="16"/>
          <w:szCs w:val="16"/>
          <w:rtl w:val="0"/>
        </w:rPr>
        <w:t xml:space="preserve">Na hipótese de apresentar documentação inverossímil ou de cometer fraude, o licitante poderá sofrer sem prejuízo da comunicação do ocorrido ao Ministério Público, quaisquer das sanções previstas, que poderão ser aplicadas cumulativamente.</w:t>
      </w:r>
    </w:p>
    <w:p w:rsidR="00000000" w:rsidDel="00000000" w:rsidP="00000000" w:rsidRDefault="00000000" w:rsidRPr="00000000" w14:paraId="0000008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9.21. </w:t>
      </w:r>
      <w:r w:rsidDel="00000000" w:rsidR="00000000" w:rsidRPr="00000000">
        <w:rPr>
          <w:rFonts w:ascii="Arial" w:cs="Arial" w:eastAsia="Arial" w:hAnsi="Arial"/>
          <w:sz w:val="16"/>
          <w:szCs w:val="16"/>
          <w:rtl w:val="0"/>
        </w:rPr>
        <w:t xml:space="preserve">Nenhuma sanção será aplicada sem o devido processo administrativo, que prevê defesa prévia do interessado e recurso nos prazos definidos em Lei, sendo-lhe franqueada vista ao processo.</w:t>
      </w:r>
    </w:p>
    <w:p w:rsidR="00000000" w:rsidDel="00000000" w:rsidP="00000000" w:rsidRDefault="00000000" w:rsidRPr="00000000" w14:paraId="0000008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9.22. </w:t>
      </w:r>
      <w:r w:rsidDel="00000000" w:rsidR="00000000" w:rsidRPr="00000000">
        <w:rPr>
          <w:rFonts w:ascii="Arial" w:cs="Arial" w:eastAsia="Arial" w:hAnsi="Arial"/>
          <w:sz w:val="16"/>
          <w:szCs w:val="16"/>
          <w:rtl w:val="0"/>
        </w:rPr>
        <w:t xml:space="preserve">T</w:t>
      </w:r>
      <w:r w:rsidDel="00000000" w:rsidR="00000000" w:rsidRPr="00000000">
        <w:rPr>
          <w:rFonts w:ascii="Arial" w:cs="Arial" w:eastAsia="Arial" w:hAnsi="Arial"/>
          <w:b w:val="1"/>
          <w:sz w:val="16"/>
          <w:szCs w:val="16"/>
          <w:rtl w:val="0"/>
        </w:rPr>
        <w:t xml:space="preserve">ratando-se de sanção do art. 7° da Lei do Pregão, os seus efeitos recaem apenas na esfera administrativa do órgão que a aplicou".</w:t>
      </w:r>
    </w:p>
    <w:p w:rsidR="00000000" w:rsidDel="00000000" w:rsidP="00000000" w:rsidRDefault="00000000" w:rsidRPr="00000000" w14:paraId="00000090">
      <w:pPr>
        <w:spacing w:after="120" w:before="12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091">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92">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93">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4">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A">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F">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B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B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B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SEDUC </w:t>
      </w:r>
      <w:r w:rsidDel="00000000" w:rsidR="00000000" w:rsidRPr="00000000">
        <w:rPr>
          <w:rFonts w:ascii="Arial" w:cs="Arial" w:eastAsia="Arial" w:hAnsi="Arial"/>
          <w:sz w:val="16"/>
          <w:szCs w:val="16"/>
          <w:rtl w:val="0"/>
        </w:rPr>
        <w:t xml:space="preserve">– Secretaria de Estado da Educação.</w:t>
      </w:r>
    </w:p>
    <w:p w:rsidR="00000000" w:rsidDel="00000000" w:rsidP="00000000" w:rsidRDefault="00000000" w:rsidRPr="00000000" w14:paraId="000000B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B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C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2">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5">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6">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C7">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C8">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B">
      <w:pPr>
        <w:ind w:right="47"/>
        <w:jc w:val="both"/>
        <w:rPr>
          <w:rFonts w:ascii="Arial" w:cs="Arial" w:eastAsia="Arial" w:hAnsi="Arial"/>
          <w:b w:val="1"/>
          <w:sz w:val="12"/>
          <w:szCs w:val="12"/>
        </w:rPr>
      </w:pPr>
      <w:r w:rsidDel="00000000" w:rsidR="00000000" w:rsidRPr="00000000">
        <w:rPr>
          <w:rFonts w:ascii="Arial" w:cs="Arial" w:eastAsia="Arial" w:hAnsi="Arial"/>
          <w:b w:val="1"/>
          <w:sz w:val="16"/>
          <w:szCs w:val="16"/>
          <w:rtl w:val="0"/>
        </w:rPr>
        <w:t xml:space="preserve">FRA</w:t>
      </w:r>
      <w:r w:rsidDel="00000000" w:rsidR="00000000" w:rsidRPr="00000000">
        <w:rPr>
          <w:rFonts w:ascii="Arial" w:cs="Arial" w:eastAsia="Arial" w:hAnsi="Arial"/>
          <w:b w:val="1"/>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paragraph" w:styleId="tabelatextoalinhadodireita" w:customStyle="1">
    <w:name w:val="tabela_texto_alinhado_direita"/>
    <w:basedOn w:val="Normal"/>
    <w:rsid w:val="00DB2B0E"/>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6GdyfyQdtvG07hTCgdhMRVxTKA==">AMUW2mX0aaUTbcZ6MFc7J0z3wRZP+/sKugK3VWQd2i9xx0I29K2Rngcqc316VRJvJEUCv9vb8EVAMqEv5LCgVgwoYQqJxwlFyn9949V9wP31mSl2FrM7UhCkp8C2jVbuzSe1ik0DvfcM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2020-03-03T16:42:00Z</dcterms:created>
  <dc:creator>SESAU</dc:creator>
</cp:coreProperties>
</file>