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5"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1"/>
          <w:sz w:val="16"/>
          <w:szCs w:val="16"/>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r w:rsidDel="00000000" w:rsidR="00000000" w:rsidRPr="00000000">
        <w:rPr>
          <w:rtl w:val="0"/>
        </w:rPr>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128/2020</w:t>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531/2019</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0033.289373/2019-51</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9">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futura e eventual contratação de empresa especializada em LOCAÇÃO DE VEÍCULOS TIPO FURGÃO, PICK UP, TIPO PERUA STATION WAGON, E TIPO HATCH para atender as necessidades do Sistema Prisional da Secretaria de Estado de Justiça/SEJUS,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C">
      <w:pPr>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Preços </w:t>
      </w:r>
      <w:r w:rsidDel="00000000" w:rsidR="00000000" w:rsidRPr="00000000">
        <w:rPr>
          <w:rFonts w:ascii="Arial" w:cs="Arial" w:eastAsia="Arial" w:hAnsi="Arial"/>
          <w:sz w:val="16"/>
          <w:szCs w:val="16"/>
          <w:rtl w:val="0"/>
        </w:rPr>
        <w:t xml:space="preserve">futura e eventual contratação de empresa especializada em LOCAÇÃO DE VEÍCULOS TIPO FURGÃO, PICK UP, TIPO PERUA STATION WAGON, E TIPO HATCH para atender as necessidades do Sistema Prisional da Secretaria de Estado de Justiça/SEJU.</w:t>
      </w:r>
    </w:p>
    <w:p w:rsidR="00000000" w:rsidDel="00000000" w:rsidP="00000000" w:rsidRDefault="00000000" w:rsidRPr="00000000" w14:paraId="0000000D">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8">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9">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F">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à observância das normas contidas no art. 40, inciso XVI, c/c o art. 73 inciso II, “a” e “b”, da Lei 8.666/93 e alterações.</w:t>
      </w:r>
    </w:p>
    <w:p w:rsidR="00000000" w:rsidDel="00000000" w:rsidP="00000000" w:rsidRDefault="00000000" w:rsidRPr="00000000" w14:paraId="00000022">
      <w:pPr>
        <w:jc w:val="both"/>
        <w:rPr>
          <w:rFonts w:ascii="Arial" w:cs="Arial" w:eastAsia="Arial" w:hAnsi="Arial"/>
          <w:b w:val="1"/>
          <w:color w:val="000000"/>
          <w:sz w:val="16"/>
          <w:szCs w:val="16"/>
          <w:highlight w:val="white"/>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Previamente agendado com antecedência de no mínimo 15(dias), através do fone (69) 98481-9509 e-mail transporte.sejus@gmail.com, com o Gestor do Contrato, devidamente limpos (interna e externamente) e abastecidos (1/4), com o combustível adequado ao tipo do veículo (os demais abastecimentos serão por conta da Contratante).</w:t>
      </w:r>
      <w:r w:rsidDel="00000000" w:rsidR="00000000" w:rsidRPr="00000000">
        <w:rPr>
          <w:rtl w:val="0"/>
        </w:rPr>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 A entrega dos veículos será feito na capital do Estado nos locais previamente definido pelas CONTRATANTE, podendo serem entregues no Pátio da Frota Única do Estado, situado a Rua Vera Cruz, 139-199, Bairro Pedrinhas, Porto Velho – RO, em dias úteis, no horário de 07h30min às 13h30min, </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2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0">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o valor do instrumento contratual. </w:t>
      </w:r>
    </w:p>
    <w:p w:rsidR="00000000" w:rsidDel="00000000" w:rsidP="00000000" w:rsidRDefault="00000000" w:rsidRPr="00000000" w14:paraId="00000031">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000000" w:rsidDel="00000000" w:rsidP="00000000" w:rsidRDefault="00000000" w:rsidRPr="00000000" w14:paraId="00000032">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 </w:t>
      </w:r>
    </w:p>
    <w:p w:rsidR="00000000" w:rsidDel="00000000" w:rsidP="00000000" w:rsidRDefault="00000000" w:rsidRPr="00000000" w14:paraId="00000033">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4">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nesta seção não eximem a adjudicatária ou contratada da reparação dos eventuais danos, perdas ou prejuízos que seu ato punível venha causar à Administração. </w:t>
      </w:r>
    </w:p>
    <w:p w:rsidR="00000000" w:rsidDel="00000000" w:rsidP="00000000" w:rsidRDefault="00000000" w:rsidRPr="00000000" w14:paraId="00000035">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000000" w:rsidDel="00000000" w:rsidP="00000000" w:rsidRDefault="00000000" w:rsidRPr="00000000" w14:paraId="00000036">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000000" w:rsidDel="00000000" w:rsidP="00000000" w:rsidRDefault="00000000" w:rsidRPr="00000000" w14:paraId="00000037">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exemplos de infração administrativa penalizáveis, nos termos da Lei nº 8.666, de 1993, da Lei nº 10.520, de 2002, do Decreto nº 3.555, de 2000, e do Decreto nº 5.450, de 2005: </w:t>
      </w:r>
    </w:p>
    <w:p w:rsidR="00000000" w:rsidDel="00000000" w:rsidP="00000000" w:rsidRDefault="00000000" w:rsidRPr="00000000" w14:paraId="00000038">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 </w:t>
      </w:r>
    </w:p>
    <w:p w:rsidR="00000000" w:rsidDel="00000000" w:rsidP="00000000" w:rsidRDefault="00000000" w:rsidRPr="00000000" w14:paraId="00000039">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 </w:t>
      </w:r>
    </w:p>
    <w:p w:rsidR="00000000" w:rsidDel="00000000" w:rsidP="00000000" w:rsidRDefault="00000000" w:rsidRPr="00000000" w14:paraId="0000003A">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 </w:t>
      </w:r>
    </w:p>
    <w:p w:rsidR="00000000" w:rsidDel="00000000" w:rsidP="00000000" w:rsidRDefault="00000000" w:rsidRPr="00000000" w14:paraId="0000003B">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 </w:t>
      </w:r>
    </w:p>
    <w:p w:rsidR="00000000" w:rsidDel="00000000" w:rsidP="00000000" w:rsidRDefault="00000000" w:rsidRPr="00000000" w14:paraId="0000003C">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p>
    <w:p w:rsidR="00000000" w:rsidDel="00000000" w:rsidP="00000000" w:rsidRDefault="00000000" w:rsidRPr="00000000" w14:paraId="0000003D">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As sanções serão aplicadas sem prejuízo da responsabilidade civil e criminal que possa ser acionada em desfavor da Contratada, conforme infração cometida e prejuízos causados à administração ou a terceiros. </w:t>
      </w:r>
    </w:p>
    <w:p w:rsidR="00000000" w:rsidDel="00000000" w:rsidP="00000000" w:rsidRDefault="00000000" w:rsidRPr="00000000" w14:paraId="0000003E">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3F">
      <w:pPr>
        <w:ind w:right="47"/>
        <w:jc w:val="both"/>
        <w:rPr>
          <w:rFonts w:ascii="Arial" w:cs="Arial" w:eastAsia="Arial" w:hAnsi="Arial"/>
          <w:sz w:val="16"/>
          <w:szCs w:val="16"/>
        </w:rPr>
      </w:pPr>
      <w:r w:rsidDel="00000000" w:rsidR="00000000" w:rsidRPr="00000000">
        <w:rPr>
          <w:rtl w:val="0"/>
        </w:rPr>
      </w:r>
    </w:p>
    <w:tbl>
      <w:tblPr>
        <w:tblStyle w:val="Table1"/>
        <w:tblW w:w="697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600"/>
        <w:gridCol w:w="4515"/>
        <w:gridCol w:w="705"/>
        <w:gridCol w:w="1155"/>
        <w:tblGridChange w:id="0">
          <w:tblGrid>
            <w:gridCol w:w="600"/>
            <w:gridCol w:w="4515"/>
            <w:gridCol w:w="705"/>
            <w:gridCol w:w="1155"/>
          </w:tblGrid>
        </w:tblGridChange>
      </w:tblGrid>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4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MULTA*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Permitir situação que crie a possibilidade ou cause dano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4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Usar indevidamente informações sigilosas a que teve acesso, ouvir os canais de rádio transmissor para fins próprios;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Suspender ou interromper, salvo por motivo de força maior ou caso fortuito, os serviços contratuais por dia e por unidade de atendimento;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os veículos e seus equipamentos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Recusar-se a executar serviço determinado pela FISCALIZAÇÃO, sem motivo justificado;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1040" w:hRule="atLeast"/>
        </w:trPr>
        <w:tc>
          <w:tcPr>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Executar serviço incompleto,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C">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de serviço,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PARA OS ITENS A SEGUIR, DEIXAR DE:</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Substituir os veículos acima do previsto nos itens 28.4.6 e 28.4.23, por ocorrência, com todos os equipamentos contidos nas viaturas</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131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Efetuar o pagamento de seguros, encargos fiscais e sociais, assim como quaisquer despesas diretas e/ou indiretas relacionadas à execução deste contrato; por dia e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Manutenir os veículos ou substituí-los por veículos reservas nos prazos previstos,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a restauração do sistema de rastreamento e reposição de equipamentos danificados, por motivo e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os veículos devidamente licenciados anualmente,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Cumprir quaisquer dos itens do Edital e seus anexos, mesmo que não previstos nesta tabela de multas, após reincidência formalmente no􀆟ficada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os veículos devidamente licenciados anualmente,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5">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as senhas e relatórios exigidos para o objeto, por tipo e por ocorrência e ainda deixar de fornecer a senha e o cd de programação de configuração dos canais de rádio;</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6">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9">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A">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B">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Substituir funcionário que se conduza de modo inconveniente ou não atenda às necessidades do Órgão, por funcionário e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E">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F">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1">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suporte técnico à Contratante, por ocorrência e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2">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spacing w:after="240" w:before="24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94">
      <w:pPr>
        <w:spacing w:after="240" w:before="240" w:lineRule="auto"/>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*Incidente sobre o valor mensal do contrato*</w:t>
      </w:r>
    </w:p>
    <w:p w:rsidR="00000000" w:rsidDel="00000000" w:rsidP="00000000" w:rsidRDefault="00000000" w:rsidRPr="00000000" w14:paraId="00000095">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Para as infrações não previstas na tabela de sanções acima, fica estabelecido os seguintes percentuais para aplicação de penalidades, incidente sobre o valor- mensal do contrato: a) 0,8% por dia, para infrações leves b) 1,6% por dia, para infrações médias c) 2,4% por dia, para infrações graves </w:t>
      </w:r>
    </w:p>
    <w:p w:rsidR="00000000" w:rsidDel="00000000" w:rsidP="00000000" w:rsidRDefault="00000000" w:rsidRPr="00000000" w14:paraId="00000096">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As sanções aqui previstas poderão ser aplicadas concomitantemente, facultada a defesa prévia do interessado, no respectivo processo, no prazo de 05 (cinco) dias úteis. </w:t>
      </w:r>
    </w:p>
    <w:p w:rsidR="00000000" w:rsidDel="00000000" w:rsidP="00000000" w:rsidRDefault="00000000" w:rsidRPr="00000000" w14:paraId="00000097">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Após 30 (trinta) dias da falta de execução do objeto, será considerada inexecução total do contrato, o que ensejará a rescisão contratual. </w:t>
      </w:r>
    </w:p>
    <w:p w:rsidR="00000000" w:rsidDel="00000000" w:rsidP="00000000" w:rsidRDefault="00000000" w:rsidRPr="00000000" w14:paraId="00000098">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de natureza pecuniária serão diretamente descontadas de créditos que eventualmente detenha a CONTRATADA ou efetuada a sua cobrança na forma prevista em lei. </w:t>
      </w:r>
    </w:p>
    <w:p w:rsidR="00000000" w:rsidDel="00000000" w:rsidP="00000000" w:rsidRDefault="00000000" w:rsidRPr="00000000" w14:paraId="00000099">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000000" w:rsidDel="00000000" w:rsidP="00000000" w:rsidRDefault="00000000" w:rsidRPr="00000000" w14:paraId="0000009A">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autoridade competente, na aplicação das sanções, levará em consideração a gravidade da conduta do infrator, o caráter educativo da pena, bem como o dano causado à Administração, observado o princípio da proporcionalidade. </w:t>
      </w:r>
    </w:p>
    <w:p w:rsidR="00000000" w:rsidDel="00000000" w:rsidP="00000000" w:rsidRDefault="00000000" w:rsidRPr="00000000" w14:paraId="0000009B">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A sanção será obrigatoriamente registrada no Sistema de Cadastramento Unificado de Fornecedores – SICAF, bem como em sistemas Estaduais.</w:t>
      </w:r>
    </w:p>
    <w:p w:rsidR="00000000" w:rsidDel="00000000" w:rsidP="00000000" w:rsidRDefault="00000000" w:rsidRPr="00000000" w14:paraId="0000009C">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9D">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Tenham sofrido condenações definitivas por praticarem, por meio dolosos, fraude fiscal no recolhimento de tributos; </w:t>
      </w:r>
    </w:p>
    <w:p w:rsidR="00000000" w:rsidDel="00000000" w:rsidP="00000000" w:rsidRDefault="00000000" w:rsidRPr="00000000" w14:paraId="0000009E">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frustrar os objetivos da licitação; </w:t>
      </w:r>
    </w:p>
    <w:p w:rsidR="00000000" w:rsidDel="00000000" w:rsidP="00000000" w:rsidRDefault="00000000" w:rsidRPr="00000000" w14:paraId="0000009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virtude de atos ilícitos praticados. </w:t>
      </w:r>
    </w:p>
    <w:p w:rsidR="00000000" w:rsidDel="00000000" w:rsidP="00000000" w:rsidRDefault="00000000" w:rsidRPr="00000000" w14:paraId="000000A0">
      <w:pPr>
        <w:spacing w:after="0" w:before="0" w:lineRule="auto"/>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1">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A2">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3">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   </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9">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SEJUS</w:t>
      </w:r>
      <w:r w:rsidDel="00000000" w:rsidR="00000000" w:rsidRPr="00000000">
        <w:rPr>
          <w:rFonts w:ascii="Arial" w:cs="Arial" w:eastAsia="Arial" w:hAnsi="Arial"/>
          <w:sz w:val="16"/>
          <w:szCs w:val="16"/>
          <w:rtl w:val="0"/>
        </w:rPr>
        <w:t xml:space="preserve">- Secretaria de Estado de Justiça.</w:t>
      </w:r>
    </w:p>
    <w:p w:rsidR="00000000" w:rsidDel="00000000" w:rsidP="00000000" w:rsidRDefault="00000000" w:rsidRPr="00000000" w14:paraId="000000CA">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C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C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1">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4">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5">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D6">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D7">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B">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DC">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RL</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RSLtoQTz0xza41Jri7RV9hVumw==">AMUW2mX1J4KDAGun4AEUy1syiEf+99v+6FkQ+1/OIQky8AiL6dqWsJ56P6CYXYZdl0R7wySLl5w5jOFzdx+PBN7mG63HfAwKj6Y2nIz5U7UJ92vlvVwbAKZbBay+5DRL2aHeJAWJqtz6VK4EgFZ8JJUEL8ySwFn+fw==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2020-02-19T15:44:00Z</dcterms:created>
  <dc:creator>SESAU</dc:creator>
</cp:coreProperties>
</file>