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115/2020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515/2019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0036.322651/2019-69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futura e </w:t>
      </w:r>
      <w:r w:rsidDel="00000000" w:rsidR="00000000" w:rsidRPr="00000000">
        <w:rPr>
          <w:rFonts w:ascii="Arial" w:cs="Arial" w:eastAsia="Arial" w:hAnsi="Arial"/>
          <w:sz w:val="16"/>
          <w:szCs w:val="16"/>
          <w:rtl w:val="0"/>
        </w:rPr>
        <w:t xml:space="preserve">eventual e parcelada aquisição de </w:t>
      </w:r>
      <w:r w:rsidDel="00000000" w:rsidR="00000000" w:rsidRPr="00000000">
        <w:rPr>
          <w:rFonts w:ascii="Arial" w:cs="Arial" w:eastAsia="Arial" w:hAnsi="Arial"/>
          <w:b w:val="1"/>
          <w:sz w:val="16"/>
          <w:szCs w:val="16"/>
          <w:rtl w:val="0"/>
        </w:rPr>
        <w:t xml:space="preserve">materiais de consumo (Material Médico-Hospitalares/Penso - Tubos de Gastrostomia, tubos de látex, tubos de silicone e outros) - Grupo de apresentação "TUBOS"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futura e </w:t>
      </w:r>
      <w:r w:rsidDel="00000000" w:rsidR="00000000" w:rsidRPr="00000000">
        <w:rPr>
          <w:rFonts w:ascii="Arial" w:cs="Arial" w:eastAsia="Arial" w:hAnsi="Arial"/>
          <w:sz w:val="16"/>
          <w:szCs w:val="16"/>
          <w:rtl w:val="0"/>
        </w:rPr>
        <w:t xml:space="preserve">eventual e parcelada aquisição de </w:t>
      </w:r>
      <w:r w:rsidDel="00000000" w:rsidR="00000000" w:rsidRPr="00000000">
        <w:rPr>
          <w:rFonts w:ascii="Arial" w:cs="Arial" w:eastAsia="Arial" w:hAnsi="Arial"/>
          <w:b w:val="1"/>
          <w:sz w:val="16"/>
          <w:szCs w:val="16"/>
          <w:rtl w:val="0"/>
        </w:rPr>
        <w:t xml:space="preserve">materiais de consumo (Material Médico-Hospitalares/Penso - Tubos de Gastrostomia, tubos de látex, tubos de silicone e outros) - Grupo de apresentação "TUBOS"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0"/>
          <w:color w:val="000000"/>
          <w:sz w:val="16"/>
          <w:szCs w:val="16"/>
          <w:rtl w:val="0"/>
        </w:rPr>
        <w:t xml:space="preserve">a pedido da</w:t>
      </w:r>
      <w:r w:rsidDel="00000000" w:rsidR="00000000" w:rsidRPr="00000000">
        <w:rPr>
          <w:rFonts w:ascii="Arial" w:cs="Arial" w:eastAsia="Arial" w:hAnsi="Arial"/>
          <w:color w:val="000000"/>
          <w:sz w:val="16"/>
          <w:szCs w:val="16"/>
          <w:rtl w:val="0"/>
        </w:rPr>
        <w:t xml:space="preserve"> Secretaria de Estado da Saúde - SESAU.</w:t>
      </w:r>
    </w:p>
    <w:p w:rsidR="00000000" w:rsidDel="00000000" w:rsidP="00000000" w:rsidRDefault="00000000" w:rsidRPr="00000000" w14:paraId="0000000D">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deverá ocorrer conforme solicitação via requisição da Secretaria de Saúde com definição da quantidade no prazo de </w:t>
      </w:r>
      <w:r w:rsidDel="00000000" w:rsidR="00000000" w:rsidRPr="00000000">
        <w:rPr>
          <w:rFonts w:ascii="Arial" w:cs="Arial" w:eastAsia="Arial" w:hAnsi="Arial"/>
          <w:b w:val="1"/>
          <w:sz w:val="16"/>
          <w:szCs w:val="16"/>
          <w:highlight w:val="white"/>
          <w:rtl w:val="0"/>
        </w:rPr>
        <w:t xml:space="preserve">não superior a 30 (dias) dias corridos, contado a partir da confirmação de  recebimento da Nota de Empenho.</w:t>
      </w:r>
      <w:r w:rsidDel="00000000" w:rsidR="00000000" w:rsidRPr="00000000">
        <w:rPr>
          <w:rFonts w:ascii="Arial" w:cs="Arial" w:eastAsia="Arial" w:hAnsi="Arial"/>
          <w:color w:val="000000"/>
          <w:sz w:val="16"/>
          <w:szCs w:val="16"/>
          <w:highlight w:val="white"/>
          <w:rtl w:val="0"/>
        </w:rPr>
        <w:t xml:space="preserve">.</w:t>
      </w:r>
      <w:r w:rsidDel="00000000" w:rsidR="00000000" w:rsidRPr="00000000">
        <w:rPr>
          <w:rtl w:val="0"/>
        </w:rPr>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Os materiais/insumos deverão ser entregues na </w:t>
      </w:r>
      <w:r w:rsidDel="00000000" w:rsidR="00000000" w:rsidRPr="00000000">
        <w:rPr>
          <w:rFonts w:ascii="Arial" w:cs="Arial" w:eastAsia="Arial" w:hAnsi="Arial"/>
          <w:b w:val="1"/>
          <w:sz w:val="16"/>
          <w:szCs w:val="16"/>
          <w:rtl w:val="0"/>
        </w:rPr>
        <w:t xml:space="preserve">Central de Abastecimento Farmacêutico - CAF II,</w:t>
      </w:r>
      <w:r w:rsidDel="00000000" w:rsidR="00000000" w:rsidRPr="00000000">
        <w:rPr>
          <w:rFonts w:ascii="Arial" w:cs="Arial" w:eastAsia="Arial" w:hAnsi="Arial"/>
          <w:sz w:val="16"/>
          <w:szCs w:val="16"/>
          <w:rtl w:val="0"/>
        </w:rPr>
        <w:t xml:space="preserve"> sito à Rua: Aparício de Morais nº 4378 – bairro: Setor Industrial, CEP: 76824-128, na cidade de Porto Velho/RO. Os dias de funcionamento são de segunda-feira a sexta-feira das 07h30 às 13h30.</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proposta;VII - Apresentar documento ou declaração falsa.</w:t>
      </w:r>
    </w:p>
    <w:p w:rsidR="00000000" w:rsidDel="00000000" w:rsidP="00000000" w:rsidRDefault="00000000" w:rsidRPr="00000000" w14:paraId="0000003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w:t>
      </w:r>
    </w:p>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 contratada, total e/ou parcialmente inadimplente, serão aplicadas as sanções previstas nos artigos 86 e 87 da Lei Federal nº 8.666/93, a saber:</w:t>
      </w:r>
    </w:p>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Multa, cobrada pelo Estado, por via administrativa ou judicial, equivalente a 1% (um por cento) do valor estimado pelo item ofertado, ou ainda nos casos descritos abaixo:</w:t>
      </w:r>
    </w:p>
    <w:p w:rsidR="00000000" w:rsidDel="00000000" w:rsidP="00000000" w:rsidRDefault="00000000" w:rsidRPr="00000000" w14:paraId="0000004E">
      <w:pPr>
        <w:spacing w:after="80" w:before="80" w:lineRule="auto"/>
        <w:ind w:left="240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X - Aplica-se os efeitos da penalidade do subitem 16.15, IV à todos os entes Federativo e os efeitos do subitem 16.4 ao Ente Federativo que aplicou a sanção conforme posicionamento do STJ e PGE/RO.</w:t>
      </w:r>
    </w:p>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9.16.1 - Desclassificação, se a seleção se encontrar em fase de julgamento;</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9.16.2 - Cancelamento do preço registrado, procedendo-se à paralisação do fornecimento.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9.16.3.3 - A detentora incorrer reiteradamente em infrações previstas no Edital;</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9.16.3.6 - Por razões de interesse público, mediante despacho motivado, devidamente justificado.</w:t>
      </w:r>
    </w:p>
    <w:p w:rsidR="00000000" w:rsidDel="00000000" w:rsidP="00000000" w:rsidRDefault="00000000" w:rsidRPr="00000000" w14:paraId="0000006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9.16.3.9 - 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w:t>
      </w:r>
    </w:p>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7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35"/>
        <w:gridCol w:w="890"/>
        <w:gridCol w:w="995"/>
        <w:tblGridChange w:id="0">
          <w:tblGrid>
            <w:gridCol w:w="830"/>
            <w:gridCol w:w="693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6">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p>
    <w:p w:rsidR="00000000" w:rsidDel="00000000" w:rsidP="00000000" w:rsidRDefault="00000000" w:rsidRPr="00000000" w14:paraId="000000A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8">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9">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B">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C">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D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D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D">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E">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F">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E0">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4">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E5">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NZ+ySZ0KEZ9J6S+3nPWL7GYQ7w==">AMUW2mUUkKV9kGJzyrTzvrLK7vAHu2YmITEfajSrqCh8xWDZJvM1bzF6qQc+AgwQpWFoOhVWAziIsAPITMuh7A7XVRM2mqxBb3elqwzpHGpKT7vclOb503jKQhMKLf2CILv1T9gmdsACnGVGe53HYRz8PD5vTQiYdQ==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