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082/2020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024/2020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0029.070463/2019-39</w:t>
      </w:r>
    </w:p>
    <w:p w:rsidR="00000000" w:rsidDel="00000000" w:rsidP="00000000" w:rsidRDefault="00000000" w:rsidRPr="00000000" w14:paraId="00000009">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w:t>
      </w:r>
      <w:r w:rsidDel="00000000" w:rsidR="00000000" w:rsidRPr="00000000">
        <w:rPr>
          <w:rFonts w:ascii="Arial" w:cs="Arial" w:eastAsia="Arial" w:hAnsi="Arial"/>
          <w:sz w:val="16"/>
          <w:szCs w:val="16"/>
          <w:rtl w:val="0"/>
        </w:rPr>
        <w:t xml:space="preserve"> para futura e eventual Aquisição de Gêneros Alimentícios (produtos perecíveis e não perecíveis), em atendimento às necessidades das Escolas da Rede Estadual de Educação, a pedido da Secretaria de Estado da Educação - </w:t>
      </w:r>
      <w:r w:rsidDel="00000000" w:rsidR="00000000" w:rsidRPr="00000000">
        <w:rPr>
          <w:rFonts w:ascii="Arial" w:cs="Arial" w:eastAsia="Arial" w:hAnsi="Arial"/>
          <w:sz w:val="16"/>
          <w:szCs w:val="16"/>
          <w:rtl w:val="0"/>
        </w:rPr>
        <w:t xml:space="preserve">SEDUC</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Gêneros Alimentícios (produtos perecíveis e não perecíveis), em atendimento às necessidades das Escolas da Rede Estadual de Educação, a pedido da Secretaria de Estado da Educação - </w:t>
      </w:r>
      <w:r w:rsidDel="00000000" w:rsidR="00000000" w:rsidRPr="00000000">
        <w:rPr>
          <w:rFonts w:ascii="Arial" w:cs="Arial" w:eastAsia="Arial" w:hAnsi="Arial"/>
          <w:sz w:val="16"/>
          <w:szCs w:val="16"/>
          <w:rtl w:val="0"/>
        </w:rPr>
        <w:t xml:space="preserve">SEDUC</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O prazo de entrega é de até 05 (cinco) dias úteis para os alimentos perecíveis e 15 (quinze) dias úteis para os alimentos não perecíveis, contados a partir do primeiro dia útil após o recebimento da Ordem de Fornecimento – OF, expedida pela Subgerência de Alimentação Escolar – SAE/SEDUC</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w:t>
      </w:r>
      <w:r w:rsidDel="00000000" w:rsidR="00000000" w:rsidRPr="00000000">
        <w:rPr>
          <w:rFonts w:ascii="Arial" w:cs="Arial" w:eastAsia="Arial" w:hAnsi="Arial"/>
          <w:sz w:val="16"/>
          <w:szCs w:val="16"/>
          <w:rtl w:val="0"/>
        </w:rPr>
        <w:t xml:space="preserve">Os gêneros alimentícios deverão ser entregues nas Unidades Escolares, conforme endereços relacionados no item  6.1.1 do termo de referência</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Além daquelas determinadas por leis, decretos, regulamentos e demais dispositivos legais, a CONTRATADA estará sujeita as sanções definidas neste Termo de Referência. </w:t>
      </w:r>
    </w:p>
    <w:p w:rsidR="00000000" w:rsidDel="00000000" w:rsidP="00000000" w:rsidRDefault="00000000" w:rsidRPr="00000000" w14:paraId="0000003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 </w:t>
      </w:r>
    </w:p>
    <w:p w:rsidR="00000000" w:rsidDel="00000000" w:rsidP="00000000" w:rsidRDefault="00000000" w:rsidRPr="00000000" w14:paraId="0000003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 </w:t>
      </w:r>
    </w:p>
    <w:p w:rsidR="00000000" w:rsidDel="00000000" w:rsidP="00000000" w:rsidRDefault="00000000" w:rsidRPr="00000000" w14:paraId="0000003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w:t>
      </w:r>
    </w:p>
    <w:p w:rsidR="00000000" w:rsidDel="00000000" w:rsidP="00000000" w:rsidRDefault="00000000" w:rsidRPr="00000000" w14:paraId="0000003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3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000000" w:rsidDel="00000000" w:rsidP="00000000" w:rsidRDefault="00000000" w:rsidRPr="00000000" w14:paraId="0000003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000000" w:rsidDel="00000000" w:rsidP="00000000" w:rsidRDefault="00000000" w:rsidRPr="00000000" w14:paraId="0000003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dos Decretos Estaduais nº 12.205/06 e 12.234/06 (Pregão Eletrônico e Presencial): </w:t>
      </w:r>
    </w:p>
    <w:p w:rsidR="00000000" w:rsidDel="00000000" w:rsidP="00000000" w:rsidRDefault="00000000" w:rsidRPr="00000000" w14:paraId="0000003A">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 </w:t>
      </w:r>
    </w:p>
    <w:p w:rsidR="00000000" w:rsidDel="00000000" w:rsidP="00000000" w:rsidRDefault="00000000" w:rsidRPr="00000000" w14:paraId="0000003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 </w:t>
      </w:r>
    </w:p>
    <w:p w:rsidR="00000000" w:rsidDel="00000000" w:rsidP="00000000" w:rsidRDefault="00000000" w:rsidRPr="00000000" w14:paraId="0000003C">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 </w:t>
      </w:r>
    </w:p>
    <w:p w:rsidR="00000000" w:rsidDel="00000000" w:rsidP="00000000" w:rsidRDefault="00000000" w:rsidRPr="00000000" w14:paraId="0000003D">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 </w:t>
      </w:r>
    </w:p>
    <w:p w:rsidR="00000000" w:rsidDel="00000000" w:rsidP="00000000" w:rsidRDefault="00000000" w:rsidRPr="00000000" w14:paraId="0000003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 </w:t>
      </w:r>
    </w:p>
    <w:p w:rsidR="00000000" w:rsidDel="00000000" w:rsidP="00000000" w:rsidRDefault="00000000" w:rsidRPr="00000000" w14:paraId="0000003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à administração ou a terceiros. </w:t>
      </w:r>
    </w:p>
    <w:p w:rsidR="00000000" w:rsidDel="00000000" w:rsidP="00000000" w:rsidRDefault="00000000" w:rsidRPr="00000000" w14:paraId="00000040">
      <w:pPr>
        <w:jc w:val="both"/>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Para efeito de aplicação de multas, às infrações são atribuídos graus, com percentuais de multa conforme a tabela a seguir, que elenca apenas as principais situações previstas, não eximindo de outras equivalentes que surgirem, conforme o caso: </w:t>
      </w:r>
      <w:r w:rsidDel="00000000" w:rsidR="00000000" w:rsidRPr="00000000">
        <w:rPr>
          <w:rtl w:val="0"/>
        </w:rPr>
      </w:r>
    </w:p>
    <w:tbl>
      <w:tblPr>
        <w:tblStyle w:val="Table1"/>
        <w:tblW w:w="652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75"/>
        <w:gridCol w:w="3495"/>
        <w:gridCol w:w="735"/>
        <w:gridCol w:w="1320"/>
        <w:tblGridChange w:id="0">
          <w:tblGrid>
            <w:gridCol w:w="975"/>
            <w:gridCol w:w="3495"/>
            <w:gridCol w:w="735"/>
            <w:gridCol w:w="1320"/>
          </w:tblGrid>
        </w:tblGridChange>
      </w:tblGrid>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4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990" w:hRule="atLeast"/>
        </w:trPr>
        <w:tc>
          <w:tcPr>
            <w:tcMar>
              <w:top w:w="100.0" w:type="dxa"/>
              <w:left w:w="100.0" w:type="dxa"/>
              <w:bottom w:w="100.0" w:type="dxa"/>
              <w:right w:w="100.0" w:type="dxa"/>
            </w:tcMar>
            <w:vAlign w:val="top"/>
          </w:tcPr>
          <w:p w:rsidR="00000000" w:rsidDel="00000000" w:rsidP="00000000" w:rsidRDefault="00000000" w:rsidRPr="00000000" w14:paraId="0000004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a entrega incompleta,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855"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as determinações feitas pela FISCALIZAÇÃO,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825"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fornecimentos dos bens adquiridos.</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95"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885" w:hRule="atLeast"/>
        </w:trPr>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danos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495" w:hRule="atLeast"/>
        </w:trPr>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do contrato.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10 %</w:t>
            </w:r>
          </w:p>
        </w:tc>
      </w:tr>
      <w:tr>
        <w:trPr>
          <w:trHeight w:val="480" w:hRule="atLeast"/>
        </w:trPr>
        <w:tc>
          <w:tcPr>
            <w:gridSpan w:val="4"/>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64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10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nos prazos estabelecidos, observados os limites mínimos estabelecidos por este Contrato;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5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1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Termo de Referência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8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bl>
    <w:p w:rsidR="00000000" w:rsidDel="00000000" w:rsidP="00000000" w:rsidRDefault="00000000" w:rsidRPr="00000000" w14:paraId="00000075">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 sobre a parte inadimplida.</w:t>
      </w:r>
    </w:p>
    <w:p w:rsidR="00000000" w:rsidDel="00000000" w:rsidP="00000000" w:rsidRDefault="00000000" w:rsidRPr="00000000" w14:paraId="0000007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Após 30 (trinta) dias da falta de execução do objeto, será considerada inexecução total do contrato, o que ensejará a rescisão contratual.</w:t>
      </w:r>
    </w:p>
    <w:p w:rsidR="00000000" w:rsidDel="00000000" w:rsidP="00000000" w:rsidRDefault="00000000" w:rsidRPr="00000000" w14:paraId="0000007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7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7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7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8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 </w:t>
      </w:r>
      <w:r w:rsidDel="00000000" w:rsidR="00000000" w:rsidRPr="00000000">
        <w:rPr>
          <w:rFonts w:ascii="Arial" w:cs="Arial" w:eastAsia="Arial" w:hAnsi="Arial"/>
          <w:sz w:val="16"/>
          <w:szCs w:val="16"/>
          <w:rtl w:val="0"/>
        </w:rPr>
        <w:t xml:space="preserve">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00000" w:rsidDel="00000000" w:rsidP="00000000" w:rsidRDefault="00000000" w:rsidRPr="00000000" w14:paraId="0000008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 </w:t>
      </w:r>
      <w:r w:rsidDel="00000000" w:rsidR="00000000" w:rsidRPr="00000000">
        <w:rPr>
          <w:rFonts w:ascii="Arial" w:cs="Arial" w:eastAsia="Arial" w:hAnsi="Arial"/>
          <w:sz w:val="16"/>
          <w:szCs w:val="16"/>
          <w:rtl w:val="0"/>
        </w:rPr>
        <w:t xml:space="preserve">Na hipótese de apresentar documentação inverossímil ou de cometer fraude, o licitante poderá sofrer sem prejuízo da comunicação do ocorrido ao Ministério Público, quaisquer das sanções previstas, que poderão ser aplicadas cumulativamente.</w:t>
      </w:r>
    </w:p>
    <w:p w:rsidR="00000000" w:rsidDel="00000000" w:rsidP="00000000" w:rsidRDefault="00000000" w:rsidRPr="00000000" w14:paraId="0000008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9.21. </w:t>
      </w:r>
      <w:r w:rsidDel="00000000" w:rsidR="00000000" w:rsidRPr="00000000">
        <w:rPr>
          <w:rFonts w:ascii="Arial" w:cs="Arial" w:eastAsia="Arial" w:hAnsi="Arial"/>
          <w:sz w:val="16"/>
          <w:szCs w:val="16"/>
          <w:rtl w:val="0"/>
        </w:rPr>
        <w:t xml:space="preserve">Nenhuma sanção será aplicada sem o devido processo administrativo, que prevê defesa prévia do interessado e recurso nos prazos definidos em Lei, sendo-lhe franqueada vista ao processo.</w:t>
      </w:r>
    </w:p>
    <w:p w:rsidR="00000000" w:rsidDel="00000000" w:rsidP="00000000" w:rsidRDefault="00000000" w:rsidRPr="00000000" w14:paraId="0000008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9.22. </w:t>
      </w:r>
      <w:r w:rsidDel="00000000" w:rsidR="00000000" w:rsidRPr="00000000">
        <w:rPr>
          <w:rFonts w:ascii="Arial" w:cs="Arial" w:eastAsia="Arial" w:hAnsi="Arial"/>
          <w:sz w:val="16"/>
          <w:szCs w:val="16"/>
          <w:rtl w:val="0"/>
        </w:rPr>
        <w:t xml:space="preserve">T</w:t>
      </w:r>
      <w:r w:rsidDel="00000000" w:rsidR="00000000" w:rsidRPr="00000000">
        <w:rPr>
          <w:rFonts w:ascii="Arial" w:cs="Arial" w:eastAsia="Arial" w:hAnsi="Arial"/>
          <w:b w:val="1"/>
          <w:sz w:val="16"/>
          <w:szCs w:val="16"/>
          <w:rtl w:val="0"/>
        </w:rPr>
        <w:t xml:space="preserve">ratando-se de sanção do art. 7° da Lei do Pregão, os seus efeitos recaem apenas na esfera administrativa do órgão que a aplicou".</w:t>
      </w:r>
    </w:p>
    <w:p w:rsidR="00000000" w:rsidDel="00000000" w:rsidP="00000000" w:rsidRDefault="00000000" w:rsidRPr="00000000" w14:paraId="00000084">
      <w:pPr>
        <w:jc w:val="both"/>
        <w:rPr/>
      </w:pPr>
      <w:r w:rsidDel="00000000" w:rsidR="00000000" w:rsidRPr="00000000">
        <w:rPr>
          <w:rtl w:val="0"/>
        </w:rPr>
      </w:r>
    </w:p>
    <w:p w:rsidR="00000000" w:rsidDel="00000000" w:rsidP="00000000" w:rsidRDefault="00000000" w:rsidRPr="00000000" w14:paraId="00000085">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6">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7">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D">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3">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SEDUC </w:t>
      </w:r>
      <w:r w:rsidDel="00000000" w:rsidR="00000000" w:rsidRPr="00000000">
        <w:rPr>
          <w:rFonts w:ascii="Arial" w:cs="Arial" w:eastAsia="Arial" w:hAnsi="Arial"/>
          <w:sz w:val="16"/>
          <w:szCs w:val="16"/>
          <w:rtl w:val="0"/>
        </w:rPr>
        <w:t xml:space="preserve">– Secretaria de Estado da Educação.</w:t>
      </w:r>
    </w:p>
    <w:p w:rsidR="00000000" w:rsidDel="00000000" w:rsidP="00000000" w:rsidRDefault="00000000" w:rsidRPr="00000000" w14:paraId="000000AE">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F">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8">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9">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A">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BB">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RL/SRP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paragraph" w:styleId="tabelatextoalinhadodireita" w:customStyle="1">
    <w:name w:val="tabela_texto_alinhado_direita"/>
    <w:basedOn w:val="Normal"/>
    <w:rsid w:val="00DB2B0E"/>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np/lxCMGyF9NwT3b41yyPMrlgg==">AMUW2mXqvHSG8kUOlvC7Mh7NPOq5Ak3RIDg5fxYUwz14SlDfleJj57dXM9ptICprV2BnAHkRAPFa9IIt3ELzGNyeHAtUZV0UaByXDB8OCmG6DGT7Ey4WaBX0PYrC/rmlq10BSU2dmvRO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2020-03-03T16:42:00Z</dcterms:created>
  <dc:creator>SESAU</dc:creator>
</cp:coreProperties>
</file>