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9755AB">
        <w:rPr>
          <w:rFonts w:ascii="Arial" w:hAnsi="Arial" w:cs="Arial"/>
          <w:b/>
          <w:sz w:val="16"/>
          <w:szCs w:val="16"/>
        </w:rPr>
        <w:t>245</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5008C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D71C9E">
        <w:rPr>
          <w:rFonts w:ascii="Arial" w:hAnsi="Arial" w:cs="Arial"/>
          <w:b/>
          <w:bCs/>
          <w:sz w:val="16"/>
          <w:szCs w:val="16"/>
        </w:rPr>
        <w:t>423</w:t>
      </w:r>
      <w:r w:rsidR="001140DF" w:rsidRPr="00510E49">
        <w:rPr>
          <w:rFonts w:ascii="Arial" w:hAnsi="Arial" w:cs="Arial"/>
          <w:b/>
          <w:bCs/>
          <w:sz w:val="16"/>
          <w:szCs w:val="16"/>
        </w:rPr>
        <w:t>/</w:t>
      </w:r>
      <w:r w:rsidR="005925DA" w:rsidRPr="00510E49">
        <w:rPr>
          <w:rFonts w:ascii="Arial" w:hAnsi="Arial" w:cs="Arial"/>
          <w:b/>
          <w:bCs/>
          <w:sz w:val="16"/>
          <w:szCs w:val="16"/>
        </w:rPr>
        <w:t>201</w:t>
      </w:r>
      <w:r w:rsidR="00D71C9E">
        <w:rPr>
          <w:rFonts w:ascii="Arial" w:hAnsi="Arial" w:cs="Arial"/>
          <w:b/>
          <w:bCs/>
          <w:sz w:val="16"/>
          <w:szCs w:val="16"/>
        </w:rPr>
        <w:t>9</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D71C9E" w:rsidRPr="00D71C9E">
        <w:rPr>
          <w:rFonts w:ascii="Arial" w:hAnsi="Arial" w:cs="Arial"/>
          <w:b/>
          <w:bCs/>
          <w:sz w:val="16"/>
          <w:szCs w:val="16"/>
        </w:rPr>
        <w:t>0029.357574/2019-57</w:t>
      </w:r>
    </w:p>
    <w:p w:rsidR="00BE2572" w:rsidRPr="00510E49" w:rsidRDefault="00BE2572" w:rsidP="0081546B">
      <w:pPr>
        <w:ind w:firstLine="708"/>
        <w:jc w:val="both"/>
        <w:rPr>
          <w:rFonts w:ascii="Arial" w:hAnsi="Arial" w:cs="Arial"/>
          <w:b/>
          <w:bCs/>
          <w:sz w:val="16"/>
          <w:szCs w:val="16"/>
        </w:rPr>
      </w:pPr>
    </w:p>
    <w:p w:rsidR="009D2314" w:rsidRPr="00510E49" w:rsidRDefault="002E300A" w:rsidP="008828F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8828FA">
        <w:rPr>
          <w:rFonts w:ascii="Arial" w:hAnsi="Arial" w:cs="Arial"/>
          <w:color w:val="000000" w:themeColor="text1"/>
          <w:sz w:val="16"/>
          <w:szCs w:val="16"/>
        </w:rPr>
        <w:t>para futura e eventual</w:t>
      </w:r>
      <w:r w:rsidR="00A47099">
        <w:rPr>
          <w:rFonts w:ascii="Arial" w:hAnsi="Arial" w:cs="Arial"/>
          <w:color w:val="000000" w:themeColor="text1"/>
          <w:sz w:val="16"/>
          <w:szCs w:val="16"/>
        </w:rPr>
        <w:t xml:space="preserve"> a</w:t>
      </w:r>
      <w:r w:rsidR="00A47099" w:rsidRPr="00A47099">
        <w:rPr>
          <w:rFonts w:ascii="Arial" w:hAnsi="Arial" w:cs="Arial"/>
          <w:color w:val="000000" w:themeColor="text1"/>
          <w:sz w:val="16"/>
          <w:szCs w:val="16"/>
        </w:rPr>
        <w:t>quisição de Material Permanente (Mobiliário Administrativo e EscolarArmários, arquivos, gaveteiros e estantes), com entrega, montagem/instalação do mobiliário, em atendimento as necessidades das Escolas da Rede Estadual de Educação</w:t>
      </w:r>
      <w:r w:rsidR="00A47099">
        <w:t>,</w:t>
      </w:r>
      <w:r w:rsidR="008828FA">
        <w:rPr>
          <w:rFonts w:ascii="Arial" w:hAnsi="Arial" w:cs="Arial"/>
          <w:color w:val="000000" w:themeColor="text1"/>
          <w:sz w:val="16"/>
          <w:szCs w:val="16"/>
        </w:rPr>
        <w:t xml:space="preserve"> a pedido da Secretaria de Estado da Educação – SEDUC</w:t>
      </w:r>
      <w:r w:rsidR="00A212A5" w:rsidRPr="00510E49">
        <w:rPr>
          <w:rFonts w:ascii="Arial" w:hAnsi="Arial" w:cs="Arial"/>
          <w:color w:val="000000" w:themeColor="text1"/>
          <w:sz w:val="16"/>
          <w:szCs w:val="16"/>
        </w:rPr>
        <w:t xml:space="preserve">, conforme especificação completa no Termo de Referência – Anexo I deste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137C8A" w:rsidRPr="00510E49">
        <w:rPr>
          <w:rFonts w:ascii="Arial" w:hAnsi="Arial" w:cs="Arial"/>
          <w:color w:val="000000" w:themeColor="text1"/>
          <w:sz w:val="16"/>
          <w:szCs w:val="16"/>
        </w:rPr>
        <w:t xml:space="preserve"> </w:t>
      </w:r>
      <w:r w:rsidR="008828FA">
        <w:rPr>
          <w:rFonts w:ascii="Arial" w:hAnsi="Arial" w:cs="Arial"/>
          <w:color w:val="000000" w:themeColor="text1"/>
          <w:sz w:val="16"/>
          <w:szCs w:val="16"/>
        </w:rPr>
        <w:t xml:space="preserve">para futura e eventual </w:t>
      </w:r>
      <w:r w:rsidR="00A47099">
        <w:rPr>
          <w:rFonts w:ascii="Arial" w:hAnsi="Arial" w:cs="Arial"/>
          <w:color w:val="000000" w:themeColor="text1"/>
          <w:sz w:val="16"/>
          <w:szCs w:val="16"/>
        </w:rPr>
        <w:t>a</w:t>
      </w:r>
      <w:r w:rsidR="00A47099" w:rsidRPr="00A47099">
        <w:rPr>
          <w:rFonts w:ascii="Arial" w:hAnsi="Arial" w:cs="Arial"/>
          <w:color w:val="000000" w:themeColor="text1"/>
          <w:sz w:val="16"/>
          <w:szCs w:val="16"/>
        </w:rPr>
        <w:t>quisição de Material Permanente (Mobiliário Administrativo e EscolarArmários, arquivos, gaveteiros e estantes), com entrega, montagem/instalação do mobiliário, em atendimento as necessidades das Escolas da Rede Estadual de Educação</w:t>
      </w:r>
      <w:r w:rsidR="00A47099">
        <w:t>,</w:t>
      </w:r>
      <w:r w:rsidR="00A47099">
        <w:rPr>
          <w:rFonts w:ascii="Arial" w:hAnsi="Arial" w:cs="Arial"/>
          <w:color w:val="000000" w:themeColor="text1"/>
          <w:sz w:val="16"/>
          <w:szCs w:val="16"/>
        </w:rPr>
        <w:t xml:space="preserve"> a pedido da Secretaria de Estado da Educação – SEDUC</w:t>
      </w:r>
      <w:r w:rsidR="008828FA">
        <w:rPr>
          <w:rFonts w:ascii="Arial" w:hAnsi="Arial" w:cs="Arial"/>
          <w:color w:val="000000" w:themeColor="text1"/>
          <w:sz w:val="16"/>
          <w:szCs w:val="16"/>
        </w:rPr>
        <w:t>.</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bookmarkStart w:id="1" w:name="_GoBack"/>
      <w:bookmarkEnd w:id="1"/>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8828FA" w:rsidRDefault="00206244" w:rsidP="008828FA">
      <w:pPr>
        <w:jc w:val="both"/>
        <w:rPr>
          <w:rFonts w:ascii="Arial" w:hAnsi="Arial" w:cs="Arial"/>
          <w:sz w:val="16"/>
          <w:szCs w:val="16"/>
        </w:rPr>
      </w:pPr>
      <w:r w:rsidRPr="00510E49">
        <w:rPr>
          <w:rFonts w:ascii="Arial" w:hAnsi="Arial" w:cs="Arial"/>
          <w:b/>
          <w:sz w:val="16"/>
          <w:szCs w:val="16"/>
        </w:rPr>
        <w:t>6.3</w:t>
      </w:r>
      <w:r w:rsidRPr="008828FA">
        <w:rPr>
          <w:rFonts w:ascii="Arial" w:hAnsi="Arial" w:cs="Arial"/>
          <w:sz w:val="16"/>
          <w:szCs w:val="16"/>
        </w:rPr>
        <w:t xml:space="preserve">. </w:t>
      </w:r>
      <w:r w:rsidRPr="006C7C7B">
        <w:rPr>
          <w:rFonts w:ascii="Arial" w:hAnsi="Arial" w:cs="Arial"/>
          <w:b/>
          <w:sz w:val="16"/>
          <w:szCs w:val="16"/>
        </w:rPr>
        <w:t>DO PRAZO DE ENTREGA</w:t>
      </w:r>
      <w:r w:rsidR="00A55D1F" w:rsidRPr="006C7C7B">
        <w:rPr>
          <w:rFonts w:ascii="Arial" w:hAnsi="Arial" w:cs="Arial"/>
          <w:b/>
          <w:sz w:val="16"/>
          <w:szCs w:val="16"/>
        </w:rPr>
        <w:t>:</w:t>
      </w:r>
      <w:r w:rsidR="00A55D1F" w:rsidRPr="008828FA">
        <w:rPr>
          <w:rFonts w:ascii="Arial" w:hAnsi="Arial" w:cs="Arial"/>
          <w:sz w:val="16"/>
          <w:szCs w:val="16"/>
        </w:rPr>
        <w:t xml:space="preserve"> </w:t>
      </w:r>
      <w:r w:rsidR="005361EE" w:rsidRPr="005361EE">
        <w:rPr>
          <w:rFonts w:ascii="Arial" w:hAnsi="Arial" w:cs="Arial"/>
          <w:sz w:val="16"/>
          <w:szCs w:val="16"/>
        </w:rPr>
        <w:t>Os materiais/bens, deverão ser entregues, no prazo de até 45 (quarenta e cinco) dias consecutivos, contados a partir do primeiro dia útil após o recebimento da Nota de Empenho – NE ou outro documento equivalente, em remessa única</w:t>
      </w:r>
      <w:r w:rsidR="003E63CA" w:rsidRPr="003E63CA">
        <w:rPr>
          <w:rFonts w:ascii="Arial" w:hAnsi="Arial" w:cs="Arial"/>
          <w:sz w:val="16"/>
          <w:szCs w:val="16"/>
        </w:rPr>
        <w:t>.</w:t>
      </w:r>
    </w:p>
    <w:p w:rsidR="0007299D" w:rsidRPr="008828FA" w:rsidRDefault="00766492" w:rsidP="008828FA">
      <w:pPr>
        <w:jc w:val="both"/>
        <w:rPr>
          <w:rFonts w:ascii="Arial" w:hAnsi="Arial" w:cs="Arial"/>
          <w:sz w:val="16"/>
          <w:szCs w:val="16"/>
        </w:rPr>
      </w:pPr>
      <w:r w:rsidRPr="006C7C7B">
        <w:rPr>
          <w:rFonts w:ascii="Arial" w:hAnsi="Arial" w:cs="Arial"/>
          <w:b/>
          <w:sz w:val="16"/>
          <w:szCs w:val="16"/>
        </w:rPr>
        <w:t>6.</w:t>
      </w:r>
      <w:r w:rsidR="00206244" w:rsidRPr="006C7C7B">
        <w:rPr>
          <w:rFonts w:ascii="Arial" w:hAnsi="Arial" w:cs="Arial"/>
          <w:b/>
          <w:sz w:val="16"/>
          <w:szCs w:val="16"/>
        </w:rPr>
        <w:t>4. DO LOCAL DE ENTREGA:</w:t>
      </w:r>
      <w:r w:rsidR="00206244" w:rsidRPr="00510E49">
        <w:rPr>
          <w:rFonts w:ascii="Arial" w:hAnsi="Arial" w:cs="Arial"/>
          <w:sz w:val="16"/>
          <w:szCs w:val="16"/>
        </w:rPr>
        <w:t xml:space="preserve"> </w:t>
      </w:r>
      <w:r w:rsidR="005361EE" w:rsidRPr="005361EE">
        <w:rPr>
          <w:rFonts w:ascii="Arial" w:hAnsi="Arial" w:cs="Arial"/>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D7163F" w:rsidRPr="00510E49" w:rsidRDefault="00D7163F" w:rsidP="0007299D">
      <w:pPr>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r w:rsidR="00D87FC7" w:rsidRPr="00510E49">
        <w:rPr>
          <w:rFonts w:ascii="Arial" w:hAnsi="Arial" w:cs="Arial"/>
          <w:sz w:val="16"/>
          <w:szCs w:val="16"/>
        </w:rPr>
        <w:t>a</w:t>
      </w:r>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510E49" w:rsidRDefault="006E65B3" w:rsidP="004E5DE6">
      <w:pPr>
        <w:pStyle w:val="Lista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83491C" w:rsidRPr="000847B6"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9.1.</w:t>
      </w:r>
      <w:r w:rsidRPr="003E63CA">
        <w:rPr>
          <w:rFonts w:ascii="Arial" w:hAnsi="Arial" w:cs="Arial"/>
          <w:sz w:val="16"/>
          <w:szCs w:val="16"/>
        </w:rPr>
        <w:t xml:space="preserve"> </w:t>
      </w:r>
      <w:r w:rsidR="0083491C" w:rsidRPr="000847B6">
        <w:rPr>
          <w:rFonts w:ascii="Arial" w:hAnsi="Arial" w:cs="Arial"/>
          <w:sz w:val="16"/>
          <w:szCs w:val="16"/>
        </w:rPr>
        <w:t xml:space="preserve">Além daquelas determinadas por leis, decretos, regulamentos e demais dispositivos legais, a CONTRATADA estará sujeita as sanções definidas neste Termo de Referência.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9.2.</w:t>
      </w:r>
      <w:r w:rsidRPr="000847B6">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p>
    <w:p w:rsid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9.3.</w:t>
      </w:r>
      <w:r w:rsidRPr="000847B6">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o valor adjudicado.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lastRenderedPageBreak/>
        <w:t>9.4.</w:t>
      </w:r>
      <w:r w:rsidRPr="000847B6">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9.5.</w:t>
      </w:r>
      <w:r w:rsidRPr="000847B6">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9.6.</w:t>
      </w:r>
      <w:r w:rsidRPr="000847B6">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9.7.</w:t>
      </w:r>
      <w:r w:rsidRPr="000847B6">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9.8.</w:t>
      </w:r>
      <w:r w:rsidRPr="000847B6">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9.9.</w:t>
      </w:r>
      <w:r w:rsidRPr="000847B6">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sz w:val="16"/>
          <w:szCs w:val="16"/>
        </w:rPr>
        <w:t xml:space="preserve">a) Inexecução total ou parcial do contrato;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sz w:val="16"/>
          <w:szCs w:val="16"/>
        </w:rPr>
        <w:t xml:space="preserve">b) Apresentação de documentação falsa; </w:t>
      </w:r>
    </w:p>
    <w:p w:rsidR="000847B6"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sz w:val="16"/>
          <w:szCs w:val="16"/>
        </w:rPr>
        <w:t xml:space="preserve">c) Comportamento inidôneo; </w:t>
      </w:r>
    </w:p>
    <w:p w:rsidR="000847B6"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sz w:val="16"/>
          <w:szCs w:val="16"/>
        </w:rPr>
        <w:t xml:space="preserve">d) Fraude fiscal;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sz w:val="16"/>
          <w:szCs w:val="16"/>
        </w:rPr>
        <w:t xml:space="preserve">e) Descumprimento de qualquer dos deveres elencados no Edital ou no Contrato. </w:t>
      </w:r>
    </w:p>
    <w:p w:rsidR="0083491C" w:rsidRPr="000847B6" w:rsidRDefault="0083491C"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9.10.</w:t>
      </w:r>
      <w:r w:rsidRPr="000847B6">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0847B6" w:rsidRPr="000847B6" w:rsidRDefault="000847B6" w:rsidP="003E63CA">
      <w:pPr>
        <w:suppressAutoHyphens/>
        <w:spacing w:line="100" w:lineRule="atLeast"/>
        <w:ind w:right="47"/>
        <w:jc w:val="both"/>
        <w:rPr>
          <w:rFonts w:ascii="Arial" w:hAnsi="Arial" w:cs="Arial"/>
          <w:sz w:val="16"/>
          <w:szCs w:val="16"/>
        </w:rPr>
      </w:pPr>
      <w:r w:rsidRPr="000847B6">
        <w:rPr>
          <w:rFonts w:ascii="Arial" w:hAnsi="Arial" w:cs="Arial"/>
          <w:b/>
          <w:sz w:val="16"/>
          <w:szCs w:val="16"/>
        </w:rPr>
        <w:t>9.11</w:t>
      </w:r>
      <w:r w:rsidRPr="000847B6">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3E63CA" w:rsidRDefault="003E63CA" w:rsidP="003E63CA">
      <w:pPr>
        <w:suppressAutoHyphens/>
        <w:spacing w:line="100" w:lineRule="atLeast"/>
        <w:ind w:right="47"/>
        <w:jc w:val="both"/>
        <w:rPr>
          <w:rFonts w:ascii="Arial" w:hAnsi="Arial" w:cs="Arial"/>
          <w:sz w:val="16"/>
          <w:szCs w:val="16"/>
        </w:rPr>
      </w:pPr>
    </w:p>
    <w:tbl>
      <w:tblPr>
        <w:tblW w:w="934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2"/>
        <w:gridCol w:w="7476"/>
        <w:gridCol w:w="389"/>
        <w:gridCol w:w="937"/>
      </w:tblGrid>
      <w:tr w:rsidR="003E63CA" w:rsidRPr="000847B6" w:rsidTr="000847B6">
        <w:trPr>
          <w:trHeight w:val="232"/>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Item</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Multa</w:t>
            </w:r>
          </w:p>
        </w:tc>
      </w:tr>
      <w:tr w:rsidR="003E63CA" w:rsidRPr="000847B6" w:rsidTr="000847B6">
        <w:trPr>
          <w:trHeight w:val="464"/>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1</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0,4% por dia</w:t>
            </w:r>
          </w:p>
        </w:tc>
      </w:tr>
      <w:tr w:rsidR="003E63CA" w:rsidRPr="000847B6" w:rsidTr="000847B6">
        <w:trPr>
          <w:trHeight w:val="448"/>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2</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1,6% por dia</w:t>
            </w:r>
          </w:p>
        </w:tc>
      </w:tr>
      <w:tr w:rsidR="003E63CA" w:rsidRPr="000847B6" w:rsidTr="000847B6">
        <w:trPr>
          <w:trHeight w:val="464"/>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3</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3,2% por dia</w:t>
            </w:r>
          </w:p>
        </w:tc>
      </w:tr>
      <w:tr w:rsidR="003E63CA" w:rsidRPr="000847B6" w:rsidTr="000847B6">
        <w:trPr>
          <w:trHeight w:val="232"/>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4</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3,2% por dia</w:t>
            </w:r>
          </w:p>
        </w:tc>
      </w:tr>
      <w:tr w:rsidR="003E63CA" w:rsidRPr="000847B6" w:rsidTr="000847B6">
        <w:trPr>
          <w:trHeight w:val="464"/>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5</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4,0% por dia</w:t>
            </w:r>
          </w:p>
        </w:tc>
      </w:tr>
      <w:tr w:rsidR="003E63CA" w:rsidRPr="000847B6" w:rsidTr="000847B6">
        <w:trPr>
          <w:trHeight w:val="232"/>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6</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10 %</w:t>
            </w:r>
            <w:r w:rsidR="000847B6" w:rsidRPr="000847B6">
              <w:rPr>
                <w:rFonts w:ascii="Arial" w:eastAsia="Times New Roman" w:hAnsi="Arial" w:cs="Arial"/>
                <w:kern w:val="0"/>
                <w:sz w:val="16"/>
                <w:szCs w:val="16"/>
                <w:lang w:eastAsia="pt-BR" w:bidi="ar-SA"/>
              </w:rPr>
              <w:t xml:space="preserve"> por dia</w:t>
            </w:r>
          </w:p>
        </w:tc>
      </w:tr>
      <w:tr w:rsidR="003E63CA" w:rsidRPr="000847B6" w:rsidTr="0083491C">
        <w:trPr>
          <w:trHeight w:val="232"/>
          <w:tblCellSpacing w:w="0" w:type="dxa"/>
        </w:trPr>
        <w:tc>
          <w:tcPr>
            <w:tcW w:w="9344" w:type="dxa"/>
            <w:gridSpan w:val="4"/>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Para os itens a seguir, deixar de:</w:t>
            </w:r>
          </w:p>
        </w:tc>
      </w:tr>
      <w:tr w:rsidR="003E63CA" w:rsidRPr="000847B6" w:rsidTr="000847B6">
        <w:trPr>
          <w:trHeight w:val="232"/>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7</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0,2% por dia</w:t>
            </w:r>
          </w:p>
        </w:tc>
      </w:tr>
      <w:tr w:rsidR="003E63CA" w:rsidRPr="000847B6" w:rsidTr="000847B6">
        <w:trPr>
          <w:trHeight w:val="464"/>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8</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0,2% por dia</w:t>
            </w:r>
          </w:p>
        </w:tc>
      </w:tr>
      <w:tr w:rsidR="003E63CA" w:rsidRPr="000847B6" w:rsidTr="000847B6">
        <w:trPr>
          <w:trHeight w:val="232"/>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9</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0,4% por dia</w:t>
            </w:r>
          </w:p>
        </w:tc>
      </w:tr>
      <w:tr w:rsidR="003E63CA" w:rsidRPr="000847B6" w:rsidTr="000847B6">
        <w:trPr>
          <w:trHeight w:val="680"/>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10</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0,8% por dia</w:t>
            </w:r>
          </w:p>
        </w:tc>
      </w:tr>
      <w:tr w:rsidR="003E63CA" w:rsidRPr="000847B6" w:rsidTr="000847B6">
        <w:trPr>
          <w:trHeight w:val="464"/>
          <w:tblCellSpacing w:w="0" w:type="dxa"/>
        </w:trPr>
        <w:tc>
          <w:tcPr>
            <w:tcW w:w="538"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center"/>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11</w:t>
            </w:r>
          </w:p>
        </w:tc>
        <w:tc>
          <w:tcPr>
            <w:tcW w:w="7415" w:type="dxa"/>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0847B6" w:rsidRDefault="003E63CA"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0,8% por dia</w:t>
            </w:r>
          </w:p>
        </w:tc>
      </w:tr>
    </w:tbl>
    <w:p w:rsidR="003E63CA" w:rsidRPr="000847B6" w:rsidRDefault="000847B6"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kern w:val="0"/>
          <w:sz w:val="16"/>
          <w:szCs w:val="16"/>
          <w:lang w:eastAsia="pt-BR" w:bidi="ar-SA"/>
        </w:rPr>
        <w:t>*Incide sobre a parte inadimplida</w:t>
      </w:r>
    </w:p>
    <w:p w:rsidR="000847B6" w:rsidRPr="000847B6" w:rsidRDefault="000847B6"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b/>
          <w:kern w:val="0"/>
          <w:sz w:val="16"/>
          <w:szCs w:val="16"/>
          <w:lang w:eastAsia="pt-BR" w:bidi="ar-SA"/>
        </w:rPr>
        <w:t>9.12.</w:t>
      </w:r>
      <w:r w:rsidRPr="000847B6">
        <w:rPr>
          <w:rFonts w:ascii="Arial" w:eastAsia="Times New Roman" w:hAnsi="Arial" w:cs="Arial"/>
          <w:kern w:val="0"/>
          <w:sz w:val="16"/>
          <w:szCs w:val="16"/>
          <w:lang w:eastAsia="pt-BR" w:bidi="ar-SA"/>
        </w:rPr>
        <w:t xml:space="preserve"> As sanções aqui previstas poderão ser aplicadas concomitantemente, facultada a defesa prévia do interessado, no respectivo processo, no prazo de 05 (cinco) dias úteis. </w:t>
      </w:r>
    </w:p>
    <w:p w:rsidR="000847B6" w:rsidRPr="000847B6" w:rsidRDefault="000847B6"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b/>
          <w:kern w:val="0"/>
          <w:sz w:val="16"/>
          <w:szCs w:val="16"/>
          <w:lang w:eastAsia="pt-BR" w:bidi="ar-SA"/>
        </w:rPr>
        <w:t>9.13.</w:t>
      </w:r>
      <w:r w:rsidRPr="000847B6">
        <w:rPr>
          <w:rFonts w:ascii="Arial" w:eastAsia="Times New Roman" w:hAnsi="Arial" w:cs="Arial"/>
          <w:kern w:val="0"/>
          <w:sz w:val="16"/>
          <w:szCs w:val="16"/>
          <w:lang w:eastAsia="pt-BR" w:bidi="ar-SA"/>
        </w:rPr>
        <w:t xml:space="preserve"> Após 30 (trinta) dias da falta de execução do objeto, será considerada inexecução total do contrato, o que ensejará a rescisão contratual. </w:t>
      </w:r>
    </w:p>
    <w:p w:rsidR="000847B6" w:rsidRPr="000847B6" w:rsidRDefault="000847B6"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b/>
          <w:kern w:val="0"/>
          <w:sz w:val="16"/>
          <w:szCs w:val="16"/>
          <w:lang w:eastAsia="pt-BR" w:bidi="ar-SA"/>
        </w:rPr>
        <w:t>9.14.</w:t>
      </w:r>
      <w:r w:rsidRPr="000847B6">
        <w:rPr>
          <w:rFonts w:ascii="Arial" w:eastAsia="Times New Roman" w:hAnsi="Arial" w:cs="Arial"/>
          <w:kern w:val="0"/>
          <w:sz w:val="16"/>
          <w:szCs w:val="16"/>
          <w:lang w:eastAsia="pt-BR" w:bidi="ar-SA"/>
        </w:rPr>
        <w:t xml:space="preserve"> As sanções de natureza pecuniária serão diretamente descontadas de créditos que eventualmente detenha a CONTRATADA ou efetuada a sua cobrança na forma prevista em lei. </w:t>
      </w:r>
    </w:p>
    <w:p w:rsidR="000847B6" w:rsidRPr="000847B6" w:rsidRDefault="000847B6" w:rsidP="003E63CA">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b/>
          <w:kern w:val="0"/>
          <w:sz w:val="16"/>
          <w:szCs w:val="16"/>
          <w:lang w:eastAsia="pt-BR" w:bidi="ar-SA"/>
        </w:rPr>
        <w:t>9.15.</w:t>
      </w:r>
      <w:r w:rsidRPr="000847B6">
        <w:rPr>
          <w:rFonts w:ascii="Arial" w:eastAsia="Times New Roman" w:hAnsi="Arial" w:cs="Arial"/>
          <w:kern w:val="0"/>
          <w:sz w:val="16"/>
          <w:szCs w:val="16"/>
          <w:lang w:eastAsia="pt-BR" w:bidi="ar-SA"/>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83491C" w:rsidRPr="000847B6" w:rsidRDefault="000847B6" w:rsidP="000847B6">
      <w:pPr>
        <w:pStyle w:val="PargrafodaLista1"/>
        <w:ind w:left="0"/>
        <w:jc w:val="both"/>
        <w:rPr>
          <w:rFonts w:ascii="Arial" w:eastAsia="Times New Roman" w:hAnsi="Arial" w:cs="Arial"/>
          <w:kern w:val="0"/>
          <w:sz w:val="16"/>
          <w:szCs w:val="16"/>
          <w:lang w:eastAsia="pt-BR" w:bidi="ar-SA"/>
        </w:rPr>
      </w:pPr>
      <w:r w:rsidRPr="000847B6">
        <w:rPr>
          <w:rFonts w:ascii="Arial" w:eastAsia="Times New Roman" w:hAnsi="Arial" w:cs="Arial"/>
          <w:b/>
          <w:kern w:val="0"/>
          <w:sz w:val="16"/>
          <w:szCs w:val="16"/>
          <w:lang w:eastAsia="pt-BR" w:bidi="ar-SA"/>
        </w:rPr>
        <w:t>9.16.</w:t>
      </w:r>
      <w:r w:rsidRPr="000847B6">
        <w:rPr>
          <w:rFonts w:ascii="Arial" w:eastAsia="Times New Roman" w:hAnsi="Arial" w:cs="Arial"/>
          <w:kern w:val="0"/>
          <w:sz w:val="16"/>
          <w:szCs w:val="16"/>
          <w:lang w:eastAsia="pt-BR" w:bidi="ar-SA"/>
        </w:rPr>
        <w:t xml:space="preserve"> A autoridade competente, na aplicação das sanções, levará em consideração a gravidade da conduta do infrator, o caráter educativo da pena, bem como o dano causado à Administração, observado o princípio da proporcionalidade.</w:t>
      </w:r>
    </w:p>
    <w:p w:rsidR="0083491C" w:rsidRPr="003E63CA" w:rsidRDefault="0083491C"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 xml:space="preserve">As aquisições ou contratações adicionais não poderão exceder, por órgão ou entidade, a </w:t>
      </w:r>
      <w:r w:rsidR="0029479B">
        <w:rPr>
          <w:rFonts w:ascii="Arial" w:hAnsi="Arial" w:cs="Arial"/>
          <w:color w:val="000000"/>
          <w:sz w:val="16"/>
          <w:szCs w:val="16"/>
        </w:rPr>
        <w:t>50</w:t>
      </w:r>
      <w:r w:rsidR="00334F76" w:rsidRPr="00510E49">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w:t>
      </w:r>
      <w:r w:rsidR="0029479B">
        <w:rPr>
          <w:rFonts w:ascii="Arial" w:eastAsia="Times New Roman" w:hAnsi="Arial" w:cs="Arial"/>
          <w:kern w:val="0"/>
          <w:sz w:val="16"/>
          <w:szCs w:val="16"/>
          <w:lang w:eastAsia="pt-BR" w:bidi="ar-SA"/>
        </w:rPr>
        <w:t>dobro</w:t>
      </w:r>
      <w:r w:rsidR="00334F76" w:rsidRPr="00510E49">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lastRenderedPageBreak/>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t>MARCIA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0847B6" w:rsidRDefault="000847B6" w:rsidP="00526790">
      <w:pPr>
        <w:ind w:right="47"/>
        <w:jc w:val="both"/>
        <w:rPr>
          <w:rFonts w:ascii="Arial" w:hAnsi="Arial" w:cs="Arial"/>
          <w:b/>
          <w:bCs/>
          <w:color w:val="000000"/>
          <w:sz w:val="10"/>
          <w:szCs w:val="10"/>
        </w:rPr>
      </w:pPr>
    </w:p>
    <w:p w:rsidR="00C50BF7" w:rsidRPr="00510E49" w:rsidRDefault="000847B6"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91C" w:rsidRDefault="0083491C">
      <w:r>
        <w:separator/>
      </w:r>
    </w:p>
  </w:endnote>
  <w:endnote w:type="continuationSeparator" w:id="0">
    <w:p w:rsidR="0083491C" w:rsidRDefault="008349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91C" w:rsidRDefault="0083491C">
      <w:r>
        <w:separator/>
      </w:r>
    </w:p>
  </w:footnote>
  <w:footnote w:type="continuationSeparator" w:id="0">
    <w:p w:rsidR="0083491C" w:rsidRDefault="008349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91C" w:rsidRDefault="0083491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47B6"/>
    <w:rsid w:val="00085ABE"/>
    <w:rsid w:val="00094FF4"/>
    <w:rsid w:val="000A160C"/>
    <w:rsid w:val="000A2283"/>
    <w:rsid w:val="000A6C06"/>
    <w:rsid w:val="000A6D1C"/>
    <w:rsid w:val="000A7726"/>
    <w:rsid w:val="000B1908"/>
    <w:rsid w:val="000B2688"/>
    <w:rsid w:val="000B3453"/>
    <w:rsid w:val="000B6AAE"/>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79B"/>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8C4"/>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361EE"/>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46EA"/>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491C"/>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5AB"/>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099"/>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8B4"/>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1C9E"/>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1A01"/>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5066"/>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C08DCE-8B99-4A8B-A13C-E24326A8B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3128</Words>
  <Characters>16895</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2019-03-13T16:30:00Z</cp:lastPrinted>
  <dcterms:created xsi:type="dcterms:W3CDTF">2019-12-11T12:22:00Z</dcterms:created>
  <dcterms:modified xsi:type="dcterms:W3CDTF">2019-12-11T13:15:00Z</dcterms:modified>
</cp:coreProperties>
</file>