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675EDB">
        <w:rPr>
          <w:rFonts w:ascii="Arial" w:hAnsi="Arial" w:cs="Arial"/>
          <w:b/>
          <w:sz w:val="16"/>
          <w:szCs w:val="16"/>
        </w:rPr>
        <w:t>003</w:t>
      </w:r>
      <w:r w:rsidR="00CF6980" w:rsidRPr="00510E49">
        <w:rPr>
          <w:rFonts w:ascii="Arial" w:hAnsi="Arial" w:cs="Arial"/>
          <w:b/>
          <w:sz w:val="16"/>
          <w:szCs w:val="16"/>
        </w:rPr>
        <w:t>/</w:t>
      </w:r>
      <w:r w:rsidR="00300900" w:rsidRPr="00510E49">
        <w:rPr>
          <w:rFonts w:ascii="Arial" w:hAnsi="Arial" w:cs="Arial"/>
          <w:b/>
          <w:sz w:val="16"/>
          <w:szCs w:val="16"/>
        </w:rPr>
        <w:t>20</w:t>
      </w:r>
      <w:r w:rsidR="00675EDB">
        <w:rPr>
          <w:rFonts w:ascii="Arial" w:hAnsi="Arial" w:cs="Arial"/>
          <w:b/>
          <w:sz w:val="16"/>
          <w:szCs w:val="16"/>
        </w:rPr>
        <w:t>20</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675EDB">
        <w:rPr>
          <w:rFonts w:ascii="Arial" w:hAnsi="Arial" w:cs="Arial"/>
          <w:b/>
          <w:bCs/>
          <w:sz w:val="16"/>
          <w:szCs w:val="16"/>
        </w:rPr>
        <w:t>403</w:t>
      </w:r>
      <w:r w:rsidR="001140DF" w:rsidRPr="00510E49">
        <w:rPr>
          <w:rFonts w:ascii="Arial" w:hAnsi="Arial" w:cs="Arial"/>
          <w:b/>
          <w:bCs/>
          <w:sz w:val="16"/>
          <w:szCs w:val="16"/>
        </w:rPr>
        <w:t>/</w:t>
      </w:r>
      <w:r w:rsidR="005925DA" w:rsidRPr="00510E49">
        <w:rPr>
          <w:rFonts w:ascii="Arial" w:hAnsi="Arial" w:cs="Arial"/>
          <w:b/>
          <w:bCs/>
          <w:sz w:val="16"/>
          <w:szCs w:val="16"/>
        </w:rPr>
        <w:t>201</w:t>
      </w:r>
      <w:r w:rsidR="00675EDB">
        <w:rPr>
          <w:rFonts w:ascii="Arial" w:hAnsi="Arial" w:cs="Arial"/>
          <w:b/>
          <w:bCs/>
          <w:sz w:val="16"/>
          <w:szCs w:val="16"/>
        </w:rPr>
        <w:t>9</w:t>
      </w:r>
    </w:p>
    <w:p w:rsidR="00145D13" w:rsidRPr="00675EDB" w:rsidRDefault="009D2314" w:rsidP="009D2314">
      <w:pPr>
        <w:jc w:val="both"/>
        <w:rPr>
          <w:rFonts w:ascii="Arial" w:hAnsi="Arial" w:cs="Arial"/>
          <w:b/>
          <w:bCs/>
          <w:sz w:val="16"/>
          <w:szCs w:val="16"/>
        </w:rPr>
      </w:pPr>
      <w:r w:rsidRPr="00675EDB">
        <w:rPr>
          <w:rFonts w:ascii="Arial" w:hAnsi="Arial" w:cs="Arial"/>
          <w:b/>
          <w:bCs/>
          <w:sz w:val="16"/>
          <w:szCs w:val="16"/>
        </w:rPr>
        <w:t>PROCESSO</w:t>
      </w:r>
      <w:r w:rsidR="00CE0078" w:rsidRPr="00675EDB">
        <w:rPr>
          <w:rFonts w:ascii="Arial" w:hAnsi="Arial" w:cs="Arial"/>
          <w:b/>
          <w:bCs/>
          <w:sz w:val="16"/>
          <w:szCs w:val="16"/>
        </w:rPr>
        <w:t xml:space="preserve"> Nº </w:t>
      </w:r>
      <w:r w:rsidR="00675EDB" w:rsidRPr="00675EDB">
        <w:rPr>
          <w:rFonts w:ascii="Arial" w:hAnsi="Arial" w:cs="Arial"/>
          <w:b/>
          <w:sz w:val="16"/>
          <w:szCs w:val="16"/>
        </w:rPr>
        <w:t>0036.329594/2019-49</w:t>
      </w:r>
    </w:p>
    <w:p w:rsidR="00BE2572" w:rsidRPr="00510E49" w:rsidRDefault="00BE2572" w:rsidP="0081546B">
      <w:pPr>
        <w:ind w:firstLine="708"/>
        <w:jc w:val="both"/>
        <w:rPr>
          <w:rFonts w:ascii="Arial" w:hAnsi="Arial" w:cs="Arial"/>
          <w:b/>
          <w:bCs/>
          <w:sz w:val="16"/>
          <w:szCs w:val="16"/>
        </w:rPr>
      </w:pPr>
    </w:p>
    <w:p w:rsidR="009D2314" w:rsidRPr="00675EDB" w:rsidRDefault="002E300A" w:rsidP="0007299D">
      <w:pPr>
        <w:jc w:val="both"/>
        <w:rPr>
          <w:rFonts w:ascii="Arial" w:hAnsi="Arial" w:cs="Arial"/>
          <w:color w:val="000000" w:themeColor="text1"/>
          <w:sz w:val="16"/>
          <w:szCs w:val="16"/>
        </w:rPr>
      </w:pPr>
      <w:r w:rsidRPr="00675EDB">
        <w:rPr>
          <w:rFonts w:ascii="Arial" w:hAnsi="Arial" w:cs="Arial"/>
          <w:color w:val="000000" w:themeColor="text1"/>
          <w:sz w:val="16"/>
          <w:szCs w:val="16"/>
        </w:rPr>
        <w:t xml:space="preserve">Pelo presente instrumento, o </w:t>
      </w:r>
      <w:r w:rsidR="00190648" w:rsidRPr="00675EDB">
        <w:rPr>
          <w:rFonts w:ascii="Arial" w:hAnsi="Arial" w:cs="Arial"/>
          <w:b/>
          <w:color w:val="000000" w:themeColor="text1"/>
          <w:sz w:val="16"/>
          <w:szCs w:val="16"/>
        </w:rPr>
        <w:t>ESTADO DE RONDÔNIA</w:t>
      </w:r>
      <w:r w:rsidRPr="00675EDB">
        <w:rPr>
          <w:rFonts w:ascii="Arial" w:hAnsi="Arial" w:cs="Arial"/>
          <w:color w:val="000000" w:themeColor="text1"/>
          <w:sz w:val="16"/>
          <w:szCs w:val="16"/>
        </w:rPr>
        <w:t>, através da SUPERINTENDÊNCIA ESTADUAL DE LICITAÇÕES – SUPEL situada à AV. FARQUAR N° 2986 COMPLEXO RIO MADEIRA EDIFÍCIO</w:t>
      </w:r>
      <w:r w:rsidR="00624815" w:rsidRPr="00675EDB">
        <w:rPr>
          <w:rFonts w:ascii="Arial" w:hAnsi="Arial" w:cs="Arial"/>
          <w:color w:val="000000" w:themeColor="text1"/>
          <w:sz w:val="16"/>
          <w:szCs w:val="16"/>
        </w:rPr>
        <w:t xml:space="preserve">, </w:t>
      </w:r>
      <w:r w:rsidRPr="00675EDB">
        <w:rPr>
          <w:rFonts w:ascii="Arial" w:hAnsi="Arial" w:cs="Arial"/>
          <w:color w:val="000000" w:themeColor="text1"/>
          <w:sz w:val="16"/>
          <w:szCs w:val="16"/>
        </w:rPr>
        <w:t xml:space="preserve">RIO </w:t>
      </w:r>
      <w:r w:rsidR="00DE2D9B" w:rsidRPr="00675EDB">
        <w:rPr>
          <w:rFonts w:ascii="Arial" w:hAnsi="Arial" w:cs="Arial"/>
          <w:color w:val="000000" w:themeColor="text1"/>
          <w:sz w:val="16"/>
          <w:szCs w:val="16"/>
        </w:rPr>
        <w:t>PACAÁS NOVOS 2</w:t>
      </w:r>
      <w:r w:rsidRPr="00675EDB">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75EDB">
        <w:rPr>
          <w:rFonts w:ascii="Arial" w:hAnsi="Arial" w:cs="Arial"/>
          <w:color w:val="000000" w:themeColor="text1"/>
          <w:sz w:val="16"/>
          <w:szCs w:val="16"/>
        </w:rPr>
        <w:t xml:space="preserve"> Anexo Único desta Ata, resolvem</w:t>
      </w:r>
      <w:r w:rsidRPr="00675EDB">
        <w:rPr>
          <w:rFonts w:ascii="Arial" w:hAnsi="Arial" w:cs="Arial"/>
          <w:color w:val="000000" w:themeColor="text1"/>
          <w:sz w:val="16"/>
          <w:szCs w:val="16"/>
        </w:rPr>
        <w:t xml:space="preserve"> </w:t>
      </w:r>
      <w:r w:rsidRPr="00675EDB">
        <w:rPr>
          <w:rFonts w:ascii="Arial" w:hAnsi="Arial" w:cs="Arial"/>
          <w:b/>
          <w:color w:val="000000" w:themeColor="text1"/>
          <w:sz w:val="16"/>
          <w:szCs w:val="16"/>
        </w:rPr>
        <w:t>REGISTRAR O PREÇ</w:t>
      </w:r>
      <w:r w:rsidR="00F17DD3" w:rsidRPr="00675EDB">
        <w:rPr>
          <w:rFonts w:ascii="Arial" w:hAnsi="Arial" w:cs="Arial"/>
          <w:b/>
          <w:color w:val="000000" w:themeColor="text1"/>
          <w:sz w:val="16"/>
          <w:szCs w:val="16"/>
        </w:rPr>
        <w:t>O</w:t>
      </w:r>
      <w:r w:rsidR="00E71AC7" w:rsidRPr="00675EDB">
        <w:rPr>
          <w:rFonts w:ascii="Arial" w:hAnsi="Arial" w:cs="Arial"/>
          <w:b/>
          <w:color w:val="000000" w:themeColor="text1"/>
          <w:sz w:val="16"/>
          <w:szCs w:val="16"/>
        </w:rPr>
        <w:t xml:space="preserve"> </w:t>
      </w:r>
      <w:r w:rsidR="00675EDB" w:rsidRPr="00675EDB">
        <w:rPr>
          <w:rFonts w:ascii="Arial" w:hAnsi="Arial" w:cs="Arial"/>
          <w:color w:val="000000"/>
          <w:sz w:val="16"/>
          <w:szCs w:val="16"/>
        </w:rPr>
        <w:t>para futura e eventual contratação de empresa especializada no fornecimento de </w:t>
      </w:r>
      <w:r w:rsidR="00675EDB" w:rsidRPr="00675EDB">
        <w:rPr>
          <w:rStyle w:val="Forte"/>
          <w:rFonts w:ascii="Arial" w:eastAsiaTheme="majorEastAsia" w:hAnsi="Arial" w:cs="Arial"/>
          <w:color w:val="000000"/>
          <w:sz w:val="16"/>
          <w:szCs w:val="16"/>
        </w:rPr>
        <w:t>Artigos Médicos Hospitalares do Serviço de Hemodinâmica</w:t>
      </w:r>
      <w:r w:rsidR="00675EDB" w:rsidRPr="00675EDB">
        <w:rPr>
          <w:rStyle w:val="Forte"/>
          <w:rFonts w:ascii="Arial" w:eastAsiaTheme="majorEastAsia" w:hAnsi="Arial" w:cs="Arial"/>
          <w:color w:val="000000"/>
          <w:sz w:val="16"/>
          <w:szCs w:val="16"/>
          <w:shd w:val="clear" w:color="auto" w:fill="FFFF00"/>
        </w:rPr>
        <w:t> constantes na Tabela SUS,</w:t>
      </w:r>
      <w:r w:rsidR="00675EDB" w:rsidRPr="00675EDB">
        <w:rPr>
          <w:rStyle w:val="Forte"/>
          <w:rFonts w:ascii="Arial" w:eastAsiaTheme="majorEastAsia" w:hAnsi="Arial" w:cs="Arial"/>
          <w:color w:val="000000"/>
          <w:sz w:val="16"/>
          <w:szCs w:val="16"/>
        </w:rPr>
        <w:t> em sistema de consignação,</w:t>
      </w:r>
      <w:r w:rsidR="00675EDB" w:rsidRPr="00675EDB">
        <w:rPr>
          <w:rFonts w:ascii="Arial" w:hAnsi="Arial" w:cs="Arial"/>
          <w:color w:val="000000"/>
          <w:sz w:val="16"/>
          <w:szCs w:val="16"/>
        </w:rPr>
        <w:t> para atender os </w:t>
      </w:r>
      <w:r w:rsidR="00675EDB" w:rsidRPr="00675EDB">
        <w:rPr>
          <w:rStyle w:val="Forte"/>
          <w:rFonts w:ascii="Arial" w:eastAsiaTheme="majorEastAsia" w:hAnsi="Arial" w:cs="Arial"/>
          <w:color w:val="000000"/>
          <w:sz w:val="16"/>
          <w:szCs w:val="16"/>
        </w:rPr>
        <w:t>Procedimentos de Hemodinâmica </w:t>
      </w:r>
      <w:r w:rsidR="00675EDB" w:rsidRPr="00675EDB">
        <w:rPr>
          <w:rFonts w:ascii="Arial" w:hAnsi="Arial" w:cs="Arial"/>
          <w:color w:val="000000"/>
          <w:sz w:val="16"/>
          <w:szCs w:val="16"/>
        </w:rPr>
        <w:t>realizados no Hospital de Base Dr. Ary Pinheiro – </w:t>
      </w:r>
      <w:r w:rsidR="00675EDB" w:rsidRPr="00675EDB">
        <w:rPr>
          <w:rStyle w:val="Forte"/>
          <w:rFonts w:ascii="Arial" w:eastAsiaTheme="majorEastAsia" w:hAnsi="Arial" w:cs="Arial"/>
          <w:color w:val="000000"/>
          <w:sz w:val="16"/>
          <w:szCs w:val="16"/>
        </w:rPr>
        <w:t>HBAP</w:t>
      </w:r>
      <w:r w:rsidR="003367C1" w:rsidRPr="00675EDB">
        <w:rPr>
          <w:rFonts w:ascii="Arial" w:hAnsi="Arial" w:cs="Arial"/>
          <w:sz w:val="16"/>
          <w:szCs w:val="16"/>
        </w:rPr>
        <w:t>, a pedido da Secretaria de Estado da Saúde – SESAU</w:t>
      </w:r>
      <w:r w:rsidR="00A212A5" w:rsidRPr="00675EDB">
        <w:rPr>
          <w:rFonts w:ascii="Arial" w:hAnsi="Arial" w:cs="Arial"/>
          <w:color w:val="000000" w:themeColor="text1"/>
          <w:sz w:val="16"/>
          <w:szCs w:val="16"/>
        </w:rPr>
        <w:t xml:space="preserve">, conforme especificação completa no Termo de Referência – Anexo I deste Edital </w:t>
      </w:r>
      <w:r w:rsidRPr="00675EDB">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75EDB">
        <w:rPr>
          <w:rFonts w:ascii="Arial" w:hAnsi="Arial" w:cs="Arial"/>
          <w:color w:val="000000" w:themeColor="text1"/>
          <w:sz w:val="16"/>
          <w:szCs w:val="16"/>
        </w:rPr>
        <w:t>8.340/13</w:t>
      </w:r>
      <w:r w:rsidRPr="00675EDB">
        <w:rPr>
          <w:rFonts w:ascii="Arial" w:hAnsi="Arial" w:cs="Arial"/>
          <w:color w:val="000000" w:themeColor="text1"/>
          <w:sz w:val="16"/>
          <w:szCs w:val="16"/>
        </w:rPr>
        <w:t xml:space="preserve"> e suas alterações e em conformidade com as disposições a seguir.</w:t>
      </w:r>
    </w:p>
    <w:p w:rsidR="009D2314" w:rsidRPr="00675EDB" w:rsidRDefault="009D2314" w:rsidP="008A7686">
      <w:pPr>
        <w:rPr>
          <w:rFonts w:ascii="Arial" w:hAnsi="Arial" w:cs="Arial"/>
          <w:color w:val="000000" w:themeColor="text1"/>
          <w:sz w:val="16"/>
          <w:szCs w:val="16"/>
        </w:rPr>
      </w:pPr>
    </w:p>
    <w:p w:rsidR="006D1053" w:rsidRPr="00675EDB" w:rsidRDefault="00AC6A94" w:rsidP="00AC6A94">
      <w:pPr>
        <w:jc w:val="both"/>
        <w:rPr>
          <w:rFonts w:ascii="Arial" w:hAnsi="Arial" w:cs="Arial"/>
          <w:b/>
          <w:bCs/>
          <w:color w:val="000000" w:themeColor="text1"/>
          <w:sz w:val="16"/>
          <w:szCs w:val="16"/>
        </w:rPr>
      </w:pPr>
      <w:r w:rsidRPr="00675EDB">
        <w:rPr>
          <w:rFonts w:ascii="Arial" w:hAnsi="Arial" w:cs="Arial"/>
          <w:b/>
          <w:bCs/>
          <w:color w:val="000000" w:themeColor="text1"/>
          <w:sz w:val="16"/>
          <w:szCs w:val="16"/>
        </w:rPr>
        <w:t>1. D</w:t>
      </w:r>
      <w:r w:rsidR="009D2314" w:rsidRPr="00675EDB">
        <w:rPr>
          <w:rFonts w:ascii="Arial" w:hAnsi="Arial" w:cs="Arial"/>
          <w:b/>
          <w:bCs/>
          <w:color w:val="000000" w:themeColor="text1"/>
          <w:sz w:val="16"/>
          <w:szCs w:val="16"/>
        </w:rPr>
        <w:t>O OBJETO</w:t>
      </w:r>
      <w:r w:rsidR="00CE0078" w:rsidRPr="00675EDB">
        <w:rPr>
          <w:rFonts w:ascii="Arial" w:hAnsi="Arial" w:cs="Arial"/>
          <w:b/>
          <w:bCs/>
          <w:color w:val="000000" w:themeColor="text1"/>
          <w:sz w:val="16"/>
          <w:szCs w:val="16"/>
        </w:rPr>
        <w:t xml:space="preserve"> </w:t>
      </w:r>
    </w:p>
    <w:p w:rsidR="00E71AC7" w:rsidRPr="00675EDB" w:rsidRDefault="007F65D5" w:rsidP="00137C8A">
      <w:pPr>
        <w:ind w:right="-1"/>
        <w:jc w:val="both"/>
        <w:rPr>
          <w:rFonts w:ascii="Arial" w:hAnsi="Arial" w:cs="Arial"/>
          <w:color w:val="000000" w:themeColor="text1"/>
          <w:sz w:val="16"/>
          <w:szCs w:val="16"/>
        </w:rPr>
      </w:pPr>
      <w:r w:rsidRPr="00675EDB">
        <w:rPr>
          <w:rFonts w:ascii="Arial" w:hAnsi="Arial" w:cs="Arial"/>
          <w:color w:val="000000" w:themeColor="text1"/>
          <w:sz w:val="16"/>
          <w:szCs w:val="16"/>
        </w:rPr>
        <w:t>REGISTRO DE</w:t>
      </w:r>
      <w:r w:rsidR="00DA6607" w:rsidRPr="00675EDB">
        <w:rPr>
          <w:rFonts w:ascii="Arial" w:hAnsi="Arial" w:cs="Arial"/>
          <w:color w:val="000000" w:themeColor="text1"/>
          <w:sz w:val="16"/>
          <w:szCs w:val="16"/>
        </w:rPr>
        <w:t xml:space="preserve"> PREÇO</w:t>
      </w:r>
      <w:r w:rsidR="00137C8A" w:rsidRPr="00675EDB">
        <w:rPr>
          <w:rFonts w:ascii="Arial" w:hAnsi="Arial" w:cs="Arial"/>
          <w:color w:val="000000" w:themeColor="text1"/>
          <w:sz w:val="16"/>
          <w:szCs w:val="16"/>
        </w:rPr>
        <w:t xml:space="preserve"> </w:t>
      </w:r>
      <w:r w:rsidR="00675EDB" w:rsidRPr="00675EDB">
        <w:rPr>
          <w:rFonts w:ascii="Arial" w:hAnsi="Arial" w:cs="Arial"/>
          <w:color w:val="000000"/>
          <w:sz w:val="16"/>
          <w:szCs w:val="16"/>
        </w:rPr>
        <w:t>para futura e eventual contratação de empresa especializada no fornecimento de </w:t>
      </w:r>
      <w:r w:rsidR="00675EDB" w:rsidRPr="00675EDB">
        <w:rPr>
          <w:rStyle w:val="Forte"/>
          <w:rFonts w:ascii="Arial" w:eastAsiaTheme="majorEastAsia" w:hAnsi="Arial" w:cs="Arial"/>
          <w:color w:val="000000"/>
          <w:sz w:val="16"/>
          <w:szCs w:val="16"/>
        </w:rPr>
        <w:t>Artigos Médicos Hospitalares do Serviço de Hemodinâmica</w:t>
      </w:r>
      <w:r w:rsidR="00675EDB" w:rsidRPr="00675EDB">
        <w:rPr>
          <w:rStyle w:val="Forte"/>
          <w:rFonts w:ascii="Arial" w:eastAsiaTheme="majorEastAsia" w:hAnsi="Arial" w:cs="Arial"/>
          <w:color w:val="000000"/>
          <w:sz w:val="16"/>
          <w:szCs w:val="16"/>
          <w:shd w:val="clear" w:color="auto" w:fill="FFFF00"/>
        </w:rPr>
        <w:t> constantes na Tabela SUS,</w:t>
      </w:r>
      <w:r w:rsidR="00675EDB" w:rsidRPr="00675EDB">
        <w:rPr>
          <w:rStyle w:val="Forte"/>
          <w:rFonts w:ascii="Arial" w:eastAsiaTheme="majorEastAsia" w:hAnsi="Arial" w:cs="Arial"/>
          <w:color w:val="000000"/>
          <w:sz w:val="16"/>
          <w:szCs w:val="16"/>
        </w:rPr>
        <w:t> em sistema de consignação,</w:t>
      </w:r>
      <w:r w:rsidR="00675EDB" w:rsidRPr="00675EDB">
        <w:rPr>
          <w:rFonts w:ascii="Arial" w:hAnsi="Arial" w:cs="Arial"/>
          <w:color w:val="000000"/>
          <w:sz w:val="16"/>
          <w:szCs w:val="16"/>
        </w:rPr>
        <w:t> para atender os </w:t>
      </w:r>
      <w:r w:rsidR="00675EDB" w:rsidRPr="00675EDB">
        <w:rPr>
          <w:rStyle w:val="Forte"/>
          <w:rFonts w:ascii="Arial" w:eastAsiaTheme="majorEastAsia" w:hAnsi="Arial" w:cs="Arial"/>
          <w:color w:val="000000"/>
          <w:sz w:val="16"/>
          <w:szCs w:val="16"/>
        </w:rPr>
        <w:t>Procedimentos de Hemodinâmica </w:t>
      </w:r>
      <w:r w:rsidR="00675EDB" w:rsidRPr="00675EDB">
        <w:rPr>
          <w:rFonts w:ascii="Arial" w:hAnsi="Arial" w:cs="Arial"/>
          <w:color w:val="000000"/>
          <w:sz w:val="16"/>
          <w:szCs w:val="16"/>
        </w:rPr>
        <w:t>realizados no Hospital de Base Dr. Ary Pinheiro – </w:t>
      </w:r>
      <w:r w:rsidR="00675EDB" w:rsidRPr="00675EDB">
        <w:rPr>
          <w:rStyle w:val="Forte"/>
          <w:rFonts w:ascii="Arial" w:eastAsiaTheme="majorEastAsia" w:hAnsi="Arial" w:cs="Arial"/>
          <w:color w:val="000000"/>
          <w:sz w:val="16"/>
          <w:szCs w:val="16"/>
        </w:rPr>
        <w:t>HBAP</w:t>
      </w:r>
      <w:r w:rsidR="00675EDB" w:rsidRPr="00675EDB">
        <w:rPr>
          <w:rFonts w:ascii="Arial" w:hAnsi="Arial" w:cs="Arial"/>
          <w:sz w:val="16"/>
          <w:szCs w:val="16"/>
        </w:rPr>
        <w:t>, a pedido da Secretaria de Estado da Saúde – SESAU</w:t>
      </w:r>
      <w:r w:rsidR="00526A03" w:rsidRPr="00675EDB">
        <w:rPr>
          <w:rFonts w:ascii="Arial" w:hAnsi="Arial" w:cs="Arial"/>
          <w:sz w:val="16"/>
          <w:szCs w:val="16"/>
        </w:rPr>
        <w:t>.</w:t>
      </w:r>
    </w:p>
    <w:p w:rsidR="00137C8A" w:rsidRPr="00675EDB" w:rsidRDefault="00137C8A" w:rsidP="00137C8A">
      <w:pPr>
        <w:ind w:right="-1"/>
        <w:jc w:val="both"/>
        <w:rPr>
          <w:rFonts w:ascii="Arial" w:hAnsi="Arial" w:cs="Arial"/>
          <w:color w:val="000000" w:themeColor="text1"/>
          <w:sz w:val="16"/>
          <w:szCs w:val="16"/>
        </w:rPr>
      </w:pPr>
    </w:p>
    <w:p w:rsidR="009D2314" w:rsidRPr="00675EDB" w:rsidRDefault="009D2314" w:rsidP="004741FB">
      <w:pPr>
        <w:ind w:right="-1"/>
        <w:jc w:val="both"/>
        <w:rPr>
          <w:rFonts w:ascii="Arial" w:hAnsi="Arial" w:cs="Arial"/>
          <w:b/>
          <w:bCs/>
          <w:sz w:val="16"/>
          <w:szCs w:val="16"/>
        </w:rPr>
      </w:pPr>
      <w:r w:rsidRPr="00675EDB">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75EDB" w:rsidRPr="00675EDB" w:rsidRDefault="00206244" w:rsidP="00675EDB">
      <w:pPr>
        <w:rPr>
          <w:rFonts w:ascii="Arial" w:hAnsi="Arial" w:cs="Arial"/>
          <w:sz w:val="16"/>
          <w:szCs w:val="16"/>
        </w:rPr>
      </w:pPr>
      <w:r w:rsidRPr="00675EDB">
        <w:rPr>
          <w:rFonts w:ascii="Arial" w:hAnsi="Arial" w:cs="Arial"/>
          <w:b/>
          <w:sz w:val="16"/>
          <w:szCs w:val="16"/>
        </w:rPr>
        <w:t>6.3. DO PRAZO DE ENTREGA</w:t>
      </w:r>
      <w:r w:rsidR="00A55D1F" w:rsidRPr="00675EDB">
        <w:rPr>
          <w:rFonts w:ascii="Arial" w:hAnsi="Arial" w:cs="Arial"/>
          <w:b/>
          <w:sz w:val="16"/>
          <w:szCs w:val="16"/>
        </w:rPr>
        <w:t xml:space="preserve">: </w:t>
      </w:r>
      <w:r w:rsidR="00675EDB" w:rsidRPr="00675EDB">
        <w:rPr>
          <w:rFonts w:ascii="Arial" w:hAnsi="Arial" w:cs="Arial"/>
          <w:sz w:val="16"/>
          <w:szCs w:val="16"/>
        </w:rPr>
        <w:t>A primeira entrega dos materiais deverá ocorrer </w:t>
      </w:r>
      <w:r w:rsidR="00675EDB" w:rsidRPr="00675EDB">
        <w:rPr>
          <w:rStyle w:val="Forte"/>
          <w:rFonts w:ascii="Arial" w:eastAsiaTheme="majorEastAsia" w:hAnsi="Arial" w:cs="Arial"/>
          <w:color w:val="000000"/>
          <w:sz w:val="16"/>
          <w:szCs w:val="16"/>
        </w:rPr>
        <w:t>conforme solicitação da Unidade de Saúde</w:t>
      </w:r>
      <w:r w:rsidR="00675EDB" w:rsidRPr="00675EDB">
        <w:rPr>
          <w:rFonts w:ascii="Arial" w:hAnsi="Arial" w:cs="Arial"/>
          <w:sz w:val="16"/>
          <w:szCs w:val="16"/>
        </w:rPr>
        <w:t>, com indicação do quantitativo, </w:t>
      </w:r>
      <w:r w:rsidR="00675EDB" w:rsidRPr="00675EDB">
        <w:rPr>
          <w:rStyle w:val="Forte"/>
          <w:rFonts w:ascii="Arial" w:eastAsiaTheme="majorEastAsia" w:hAnsi="Arial" w:cs="Arial"/>
          <w:color w:val="000000"/>
          <w:sz w:val="16"/>
          <w:szCs w:val="16"/>
        </w:rPr>
        <w:t>no prazo máximo de 30 dias,</w:t>
      </w:r>
      <w:r w:rsidR="00675EDB" w:rsidRPr="00675EDB">
        <w:rPr>
          <w:rFonts w:ascii="Arial" w:hAnsi="Arial" w:cs="Arial"/>
          <w:sz w:val="16"/>
          <w:szCs w:val="16"/>
        </w:rPr>
        <w:t> após emissão da nota de empenho/assinatura do termo contratual, de acordo com as especificações descritas no anexo I.</w:t>
      </w:r>
    </w:p>
    <w:p w:rsidR="00D7163F" w:rsidRPr="00675EDB" w:rsidRDefault="00675EDB" w:rsidP="00675EDB">
      <w:pPr>
        <w:rPr>
          <w:rFonts w:ascii="Arial" w:hAnsi="Arial" w:cs="Arial"/>
          <w:sz w:val="16"/>
          <w:szCs w:val="16"/>
        </w:rPr>
      </w:pPr>
      <w:r w:rsidRPr="00675EDB">
        <w:rPr>
          <w:rFonts w:ascii="Arial" w:hAnsi="Arial" w:cs="Arial"/>
          <w:b/>
          <w:sz w:val="16"/>
          <w:szCs w:val="16"/>
        </w:rPr>
        <w:t>6.3.1.</w:t>
      </w:r>
      <w:r w:rsidRPr="00675EDB">
        <w:rPr>
          <w:rFonts w:ascii="Arial" w:hAnsi="Arial" w:cs="Arial"/>
          <w:sz w:val="16"/>
          <w:szCs w:val="16"/>
        </w:rPr>
        <w:t xml:space="preserve"> As entregas serão parceladas </w:t>
      </w:r>
      <w:proofErr w:type="gramStart"/>
      <w:r w:rsidRPr="00675EDB">
        <w:rPr>
          <w:rFonts w:ascii="Arial" w:hAnsi="Arial" w:cs="Arial"/>
          <w:sz w:val="16"/>
          <w:szCs w:val="16"/>
        </w:rPr>
        <w:t>na medida que</w:t>
      </w:r>
      <w:proofErr w:type="gramEnd"/>
      <w:r w:rsidRPr="00675EDB">
        <w:rPr>
          <w:rFonts w:ascii="Arial" w:hAnsi="Arial" w:cs="Arial"/>
          <w:sz w:val="16"/>
          <w:szCs w:val="16"/>
        </w:rPr>
        <w:t xml:space="preserve"> forem sendo solicitadas pela Unidade, as quais deverão ser entregues </w:t>
      </w:r>
      <w:r w:rsidRPr="00675EDB">
        <w:rPr>
          <w:rStyle w:val="Forte"/>
          <w:rFonts w:ascii="Arial" w:eastAsiaTheme="majorEastAsia" w:hAnsi="Arial" w:cs="Arial"/>
          <w:color w:val="000000"/>
          <w:sz w:val="16"/>
          <w:szCs w:val="16"/>
        </w:rPr>
        <w:t>no prazo máximo de 8 (oito) dias</w:t>
      </w:r>
      <w:r w:rsidRPr="00675EDB">
        <w:rPr>
          <w:rFonts w:ascii="Arial" w:hAnsi="Arial" w:cs="Arial"/>
          <w:sz w:val="16"/>
          <w:szCs w:val="16"/>
        </w:rPr>
        <w:t xml:space="preserve">, no CAF II, conforme endereço descrito no item 6.4. </w:t>
      </w:r>
      <w:proofErr w:type="gramStart"/>
      <w:r w:rsidRPr="00675EDB">
        <w:rPr>
          <w:rFonts w:ascii="Arial" w:hAnsi="Arial" w:cs="Arial"/>
          <w:sz w:val="16"/>
          <w:szCs w:val="16"/>
        </w:rPr>
        <w:t>o</w:t>
      </w:r>
      <w:proofErr w:type="gramEnd"/>
      <w:r w:rsidRPr="00675EDB">
        <w:rPr>
          <w:rFonts w:ascii="Arial" w:hAnsi="Arial" w:cs="Arial"/>
          <w:sz w:val="16"/>
          <w:szCs w:val="16"/>
        </w:rPr>
        <w:t xml:space="preserve"> prazo deverá ser cumprido na íntegra para que não haja paralisação nos serviços e atrasos nas escalas de cirurgias.</w:t>
      </w:r>
    </w:p>
    <w:p w:rsidR="003367C1" w:rsidRPr="00675EDB" w:rsidRDefault="00766492" w:rsidP="00675EDB">
      <w:pPr>
        <w:rPr>
          <w:rStyle w:val="Forte"/>
          <w:rFonts w:ascii="Arial" w:eastAsiaTheme="majorEastAsia" w:hAnsi="Arial" w:cs="Arial"/>
          <w:color w:val="000000"/>
          <w:sz w:val="16"/>
          <w:szCs w:val="16"/>
        </w:rPr>
      </w:pPr>
      <w:r w:rsidRPr="00675EDB">
        <w:rPr>
          <w:rFonts w:ascii="Arial" w:hAnsi="Arial" w:cs="Arial"/>
          <w:b/>
          <w:sz w:val="16"/>
          <w:szCs w:val="16"/>
        </w:rPr>
        <w:t>6.</w:t>
      </w:r>
      <w:r w:rsidR="00206244" w:rsidRPr="00675EDB">
        <w:rPr>
          <w:rFonts w:ascii="Arial" w:hAnsi="Arial" w:cs="Arial"/>
          <w:b/>
          <w:sz w:val="16"/>
          <w:szCs w:val="16"/>
        </w:rPr>
        <w:t>4.</w:t>
      </w:r>
      <w:r w:rsidR="00206244" w:rsidRPr="00675EDB">
        <w:rPr>
          <w:rFonts w:ascii="Arial" w:hAnsi="Arial" w:cs="Arial"/>
          <w:sz w:val="16"/>
          <w:szCs w:val="16"/>
        </w:rPr>
        <w:t xml:space="preserve"> </w:t>
      </w:r>
      <w:r w:rsidR="00206244" w:rsidRPr="00675EDB">
        <w:rPr>
          <w:rFonts w:ascii="Arial" w:hAnsi="Arial" w:cs="Arial"/>
          <w:b/>
          <w:sz w:val="16"/>
          <w:szCs w:val="16"/>
        </w:rPr>
        <w:t>DO LOCAL DE ENTREGA:</w:t>
      </w:r>
      <w:r w:rsidR="00206244" w:rsidRPr="00675EDB">
        <w:rPr>
          <w:rFonts w:ascii="Arial" w:hAnsi="Arial" w:cs="Arial"/>
          <w:sz w:val="16"/>
          <w:szCs w:val="16"/>
        </w:rPr>
        <w:t xml:space="preserve"> </w:t>
      </w:r>
      <w:r w:rsidR="00675EDB" w:rsidRPr="00675EDB">
        <w:rPr>
          <w:rFonts w:ascii="Arial" w:hAnsi="Arial" w:cs="Arial"/>
          <w:sz w:val="16"/>
          <w:szCs w:val="16"/>
        </w:rPr>
        <w:t>A entrega dos materiais deverá ser efetuada na Central de Abastecimento farmacêutico – CAF II: Rua: Aparício de Morais nº. 4378  Bairro - Setor Industrial, - Telefone: (69) 3216–5759 - Porto Velho, Rondônia. O expediente é de segunda a sexta </w:t>
      </w:r>
      <w:r w:rsidR="00675EDB" w:rsidRPr="00675EDB">
        <w:rPr>
          <w:rStyle w:val="Forte"/>
          <w:rFonts w:ascii="Arial" w:eastAsiaTheme="majorEastAsia" w:hAnsi="Arial" w:cs="Arial"/>
          <w:color w:val="000000"/>
          <w:sz w:val="16"/>
          <w:szCs w:val="16"/>
        </w:rPr>
        <w:t xml:space="preserve">das </w:t>
      </w:r>
      <w:proofErr w:type="gramStart"/>
      <w:r w:rsidR="00675EDB" w:rsidRPr="00675EDB">
        <w:rPr>
          <w:rStyle w:val="Forte"/>
          <w:rFonts w:ascii="Arial" w:eastAsiaTheme="majorEastAsia" w:hAnsi="Arial" w:cs="Arial"/>
          <w:color w:val="000000"/>
          <w:sz w:val="16"/>
          <w:szCs w:val="16"/>
        </w:rPr>
        <w:t>7:30</w:t>
      </w:r>
      <w:proofErr w:type="gramEnd"/>
      <w:r w:rsidR="00675EDB" w:rsidRPr="00675EDB">
        <w:rPr>
          <w:rStyle w:val="Forte"/>
          <w:rFonts w:ascii="Arial" w:eastAsiaTheme="majorEastAsia" w:hAnsi="Arial" w:cs="Arial"/>
          <w:color w:val="000000"/>
          <w:sz w:val="16"/>
          <w:szCs w:val="16"/>
        </w:rPr>
        <w:t xml:space="preserve"> as 13:30 horas.</w:t>
      </w:r>
    </w:p>
    <w:p w:rsidR="00675EDB" w:rsidRPr="00675EDB" w:rsidRDefault="00675EDB" w:rsidP="00675EDB">
      <w:pPr>
        <w:pStyle w:val="textojustificado"/>
        <w:spacing w:before="0" w:beforeAutospacing="0" w:after="0" w:afterAutospacing="0"/>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lastRenderedPageBreak/>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675EDB" w:rsidRDefault="006E65B3" w:rsidP="00675EDB">
      <w:pPr>
        <w:rPr>
          <w:rFonts w:ascii="Arial" w:hAnsi="Arial" w:cs="Arial"/>
          <w:b/>
          <w:sz w:val="16"/>
          <w:szCs w:val="16"/>
        </w:rPr>
      </w:pPr>
      <w:r w:rsidRPr="00675EDB">
        <w:rPr>
          <w:rFonts w:ascii="Arial" w:hAnsi="Arial" w:cs="Arial"/>
          <w:b/>
          <w:sz w:val="16"/>
          <w:szCs w:val="16"/>
        </w:rPr>
        <w:t xml:space="preserve">9. </w:t>
      </w:r>
      <w:r w:rsidR="009D2314" w:rsidRPr="00675EDB">
        <w:rPr>
          <w:rFonts w:ascii="Arial" w:hAnsi="Arial" w:cs="Arial"/>
          <w:b/>
          <w:sz w:val="16"/>
          <w:szCs w:val="16"/>
        </w:rPr>
        <w:t>DAS SANÇÕES</w:t>
      </w:r>
    </w:p>
    <w:p w:rsidR="00675EDB" w:rsidRPr="00675EDB" w:rsidRDefault="003367C1" w:rsidP="00675EDB">
      <w:pPr>
        <w:rPr>
          <w:rFonts w:ascii="Arial" w:hAnsi="Arial" w:cs="Arial"/>
          <w:color w:val="000000"/>
          <w:sz w:val="16"/>
          <w:szCs w:val="16"/>
        </w:rPr>
      </w:pPr>
      <w:r w:rsidRPr="00675EDB">
        <w:rPr>
          <w:rFonts w:ascii="Arial" w:eastAsia="SimSun" w:hAnsi="Arial" w:cs="Arial"/>
          <w:b/>
          <w:color w:val="000000"/>
          <w:kern w:val="1"/>
          <w:sz w:val="16"/>
          <w:szCs w:val="16"/>
          <w:lang w:eastAsia="hi-IN" w:bidi="hi-IN"/>
        </w:rPr>
        <w:t>9.1.</w:t>
      </w:r>
      <w:r w:rsidR="00675EDB"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a) Advertência, por escrito, sempre que forem constatadas falhas na execução dos serviços;</w:t>
      </w:r>
    </w:p>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b) Multa, conforme descrito na tabela 01, até o 30º (trigésimo) dia de atraso no cumprimento das obrigações;</w:t>
      </w:r>
    </w:p>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c) Multa de 10 % (dez por cento) do valor total contratado, a partir do 31º (trigésimo primeiro dia) de atraso, o que ensejará a rescisão contratual;</w:t>
      </w:r>
    </w:p>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 xml:space="preserve">d) Suspensão temporária de participação em licitação e impedimento de contratar com a Administração por prazo não superior a </w:t>
      </w:r>
      <w:proofErr w:type="gramStart"/>
      <w:r w:rsidRPr="00675EDB">
        <w:rPr>
          <w:rFonts w:ascii="Arial" w:hAnsi="Arial" w:cs="Arial"/>
          <w:color w:val="000000"/>
          <w:sz w:val="16"/>
          <w:szCs w:val="16"/>
        </w:rPr>
        <w:t>02 (dois) anos, de acordo com o Art. 87, inciso III da Lei nº</w:t>
      </w:r>
      <w:proofErr w:type="gramEnd"/>
      <w:r w:rsidRPr="00675EDB">
        <w:rPr>
          <w:rFonts w:ascii="Arial" w:hAnsi="Arial" w:cs="Arial"/>
          <w:color w:val="000000"/>
          <w:sz w:val="16"/>
          <w:szCs w:val="16"/>
        </w:rPr>
        <w:t xml:space="preserve"> 8.666/93;</w:t>
      </w:r>
    </w:p>
    <w:p w:rsidR="0007299D" w:rsidRPr="00675EDB" w:rsidRDefault="00675EDB" w:rsidP="00675EDB">
      <w:pPr>
        <w:rPr>
          <w:rFonts w:ascii="Arial" w:hAnsi="Arial" w:cs="Arial"/>
          <w:color w:val="000000"/>
          <w:sz w:val="16"/>
          <w:szCs w:val="16"/>
        </w:rPr>
      </w:pPr>
      <w:r w:rsidRPr="00675EDB">
        <w:rPr>
          <w:rFonts w:ascii="Arial" w:hAnsi="Arial" w:cs="Arial"/>
          <w:color w:val="000000"/>
          <w:sz w:val="16"/>
          <w:szCs w:val="16"/>
        </w:rPr>
        <w:t>e) 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675EDB" w:rsidRPr="00675EDB" w:rsidRDefault="003367C1" w:rsidP="00675EDB">
      <w:pPr>
        <w:rPr>
          <w:rFonts w:ascii="Arial" w:hAnsi="Arial" w:cs="Arial"/>
          <w:color w:val="000000"/>
          <w:sz w:val="16"/>
          <w:szCs w:val="16"/>
        </w:rPr>
      </w:pPr>
      <w:r w:rsidRPr="00675EDB">
        <w:rPr>
          <w:rFonts w:ascii="Arial" w:eastAsia="SimSun" w:hAnsi="Arial" w:cs="Arial"/>
          <w:b/>
          <w:color w:val="000000"/>
          <w:kern w:val="1"/>
          <w:sz w:val="16"/>
          <w:szCs w:val="16"/>
          <w:lang w:eastAsia="hi-IN" w:bidi="hi-IN"/>
        </w:rPr>
        <w:t>9.2.</w:t>
      </w:r>
      <w:r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Para efeito de aplicação de multas, às infrações são atribuídos graus, com percentuais de multa conforme a tabela a seguir:</w:t>
      </w:r>
    </w:p>
    <w:tbl>
      <w:tblPr>
        <w:tblW w:w="9072"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3"/>
        <w:gridCol w:w="6184"/>
        <w:gridCol w:w="1015"/>
        <w:gridCol w:w="1450"/>
      </w:tblGrid>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b/>
                <w:color w:val="000000"/>
                <w:sz w:val="16"/>
                <w:szCs w:val="16"/>
              </w:rPr>
            </w:pPr>
            <w:r w:rsidRPr="00675EDB">
              <w:rPr>
                <w:rFonts w:ascii="Arial" w:hAnsi="Arial" w:cs="Arial"/>
                <w:b/>
                <w:color w:val="000000"/>
                <w:sz w:val="16"/>
                <w:szCs w:val="16"/>
              </w:rPr>
              <w:t>ITEM</w:t>
            </w:r>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b/>
                <w:color w:val="000000"/>
                <w:sz w:val="16"/>
                <w:szCs w:val="16"/>
              </w:rPr>
            </w:pPr>
            <w:r w:rsidRPr="00675EDB">
              <w:rPr>
                <w:rFonts w:ascii="Arial" w:hAnsi="Arial" w:cs="Arial"/>
                <w:b/>
                <w:color w:val="000000"/>
                <w:sz w:val="16"/>
                <w:szCs w:val="16"/>
              </w:rPr>
              <w:t>DESCRIÇÃO DA INFRAÇÃO</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b/>
                <w:color w:val="000000"/>
                <w:sz w:val="16"/>
                <w:szCs w:val="16"/>
              </w:rPr>
            </w:pPr>
            <w:r w:rsidRPr="00675EDB">
              <w:rPr>
                <w:rFonts w:ascii="Arial" w:hAnsi="Arial" w:cs="Arial"/>
                <w:b/>
                <w:color w:val="000000"/>
                <w:sz w:val="16"/>
                <w:szCs w:val="16"/>
              </w:rPr>
              <w:t>GRAU</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b/>
                <w:color w:val="000000"/>
                <w:sz w:val="16"/>
                <w:szCs w:val="16"/>
              </w:rPr>
            </w:pPr>
            <w:r w:rsidRPr="00675EDB">
              <w:rPr>
                <w:rFonts w:ascii="Arial" w:hAnsi="Arial" w:cs="Arial"/>
                <w:b/>
                <w:color w:val="000000"/>
                <w:sz w:val="16"/>
                <w:szCs w:val="16"/>
              </w:rPr>
              <w:t>MULTA*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1</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Permitir situação que crie a possibilidade ou cause dano físico, lesão corporal ou consequências letais;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06</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4,0%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2</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 xml:space="preserve">Usar indevidamente informações sigilosas a que teve acesso; por </w:t>
            </w:r>
            <w:proofErr w:type="spellStart"/>
            <w:r w:rsidRPr="00675EDB">
              <w:rPr>
                <w:rFonts w:ascii="Arial" w:hAnsi="Arial" w:cs="Arial"/>
                <w:color w:val="000000"/>
                <w:sz w:val="16"/>
                <w:szCs w:val="16"/>
              </w:rPr>
              <w:t>ocorrencia</w:t>
            </w:r>
            <w:proofErr w:type="spellEnd"/>
            <w:r w:rsidRPr="00675EDB">
              <w:rPr>
                <w:rFonts w:ascii="Arial" w:hAnsi="Arial" w:cs="Arial"/>
                <w:color w:val="000000"/>
                <w:sz w:val="16"/>
                <w:szCs w:val="16"/>
              </w:rPr>
              <w:t>.</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06</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4,0%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3</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Recusar-se a entregar os bens determinado pela FISCALIZAÇÃO, sem motivo justificado;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04</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1,6%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4</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Realizar entrega incompleta, paliativo substitutivo como por caráter permanente, ou deixar de providenciar recomposição complementar;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0,4%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5</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Fornecer informação pérfida quanto ao objeto ou substituição de material;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0,4% por dia</w:t>
            </w:r>
          </w:p>
        </w:tc>
      </w:tr>
      <w:tr w:rsidR="00675EDB" w:rsidRPr="00675EDB" w:rsidTr="00675EDB">
        <w:trPr>
          <w:tblCellSpacing w:w="0" w:type="dxa"/>
        </w:trPr>
        <w:tc>
          <w:tcPr>
            <w:tcW w:w="9072" w:type="dxa"/>
            <w:gridSpan w:val="4"/>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b/>
                <w:color w:val="000000"/>
                <w:sz w:val="16"/>
                <w:szCs w:val="16"/>
              </w:rPr>
            </w:pPr>
            <w:r w:rsidRPr="00675EDB">
              <w:rPr>
                <w:rFonts w:ascii="Arial" w:hAnsi="Arial" w:cs="Arial"/>
                <w:b/>
                <w:color w:val="000000"/>
                <w:sz w:val="16"/>
                <w:szCs w:val="16"/>
              </w:rPr>
              <w:t>Para os itens a seguir, deixar de:</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6</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Efetuar reposição de materiais danificados, por motivo e por dia;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04</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1,6%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7</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0,8%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8</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Cumprir determinação formal ou instrução complementar da FISCALIZAÇÃO,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0,8%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proofErr w:type="gramStart"/>
            <w:r w:rsidRPr="00675EDB">
              <w:rPr>
                <w:rFonts w:ascii="Arial" w:hAnsi="Arial" w:cs="Arial"/>
                <w:color w:val="000000"/>
                <w:sz w:val="16"/>
                <w:szCs w:val="16"/>
              </w:rPr>
              <w:t>9</w:t>
            </w:r>
            <w:proofErr w:type="gramEnd"/>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Iniciar a entrega dos materiais permanentes nos prazos estabelecidos, observados os limites mínimos estabelecidos no Termo de Referência;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0,4%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10</w:t>
            </w:r>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Manter a documentação de habilitação atualizada; por item,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01</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0,2% por dia</w:t>
            </w:r>
          </w:p>
        </w:tc>
      </w:tr>
      <w:tr w:rsidR="00675EDB" w:rsidRPr="00675EDB" w:rsidTr="00675E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11</w:t>
            </w:r>
          </w:p>
        </w:tc>
        <w:tc>
          <w:tcPr>
            <w:tcW w:w="604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Fornecer suporte técnico à Contratante, por ocorrência e por dia.</w:t>
            </w:r>
          </w:p>
        </w:tc>
        <w:tc>
          <w:tcPr>
            <w:tcW w:w="992"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01</w:t>
            </w:r>
          </w:p>
        </w:tc>
        <w:tc>
          <w:tcPr>
            <w:tcW w:w="1417" w:type="dxa"/>
            <w:tcBorders>
              <w:top w:val="outset" w:sz="6" w:space="0" w:color="auto"/>
              <w:left w:val="outset" w:sz="6" w:space="0" w:color="auto"/>
              <w:bottom w:val="outset" w:sz="6" w:space="0" w:color="auto"/>
              <w:right w:val="outset" w:sz="6" w:space="0" w:color="auto"/>
            </w:tcBorders>
            <w:vAlign w:val="center"/>
            <w:hideMark/>
          </w:tcPr>
          <w:p w:rsidR="00675EDB" w:rsidRPr="00675EDB" w:rsidRDefault="00675EDB" w:rsidP="00675EDB">
            <w:pPr>
              <w:rPr>
                <w:rFonts w:ascii="Arial" w:hAnsi="Arial" w:cs="Arial"/>
                <w:color w:val="000000"/>
                <w:sz w:val="16"/>
                <w:szCs w:val="16"/>
              </w:rPr>
            </w:pPr>
            <w:r w:rsidRPr="00675EDB">
              <w:rPr>
                <w:rFonts w:ascii="Arial" w:hAnsi="Arial" w:cs="Arial"/>
                <w:color w:val="000000"/>
                <w:sz w:val="16"/>
                <w:szCs w:val="16"/>
              </w:rPr>
              <w:t>0,2% por dia</w:t>
            </w:r>
          </w:p>
        </w:tc>
      </w:tr>
    </w:tbl>
    <w:p w:rsidR="00675EDB" w:rsidRPr="00675EDB" w:rsidRDefault="00675EDB" w:rsidP="00675EDB">
      <w:pPr>
        <w:rPr>
          <w:rFonts w:ascii="Arial" w:hAnsi="Arial" w:cs="Arial"/>
          <w:color w:val="000000"/>
          <w:sz w:val="16"/>
          <w:szCs w:val="16"/>
        </w:rPr>
      </w:pPr>
      <w:r w:rsidRPr="00675EDB">
        <w:rPr>
          <w:rFonts w:ascii="Arial" w:hAnsi="Arial" w:cs="Arial"/>
          <w:i/>
          <w:iCs/>
          <w:color w:val="000000"/>
          <w:sz w:val="16"/>
          <w:szCs w:val="16"/>
        </w:rPr>
        <w:t>* Incidente sobre o valor da parte inadimplida</w:t>
      </w:r>
    </w:p>
    <w:p w:rsidR="003367C1" w:rsidRPr="00675EDB" w:rsidRDefault="003367C1" w:rsidP="00675EDB">
      <w:pPr>
        <w:rPr>
          <w:rFonts w:ascii="Arial" w:eastAsia="SimSun" w:hAnsi="Arial" w:cs="Arial"/>
          <w:color w:val="000000"/>
          <w:kern w:val="1"/>
          <w:sz w:val="16"/>
          <w:szCs w:val="16"/>
          <w:lang w:eastAsia="hi-IN" w:bidi="hi-IN"/>
        </w:rPr>
      </w:pPr>
      <w:r w:rsidRPr="00675EDB">
        <w:rPr>
          <w:rFonts w:ascii="Arial" w:eastAsia="SimSun" w:hAnsi="Arial" w:cs="Arial"/>
          <w:b/>
          <w:color w:val="000000"/>
          <w:kern w:val="1"/>
          <w:sz w:val="16"/>
          <w:szCs w:val="16"/>
          <w:lang w:eastAsia="hi-IN" w:bidi="hi-IN"/>
        </w:rPr>
        <w:t>9.3.</w:t>
      </w:r>
      <w:r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As sanções aqui previstas poderão ser aplicadas concomitantemente, facultada a defesa prévia do interessado, no respectivo processo, no prazo de 05 (cinco) dias úteis.</w:t>
      </w:r>
      <w:r w:rsidRPr="00675EDB">
        <w:rPr>
          <w:rFonts w:ascii="Arial" w:eastAsia="SimSun" w:hAnsi="Arial" w:cs="Arial"/>
          <w:color w:val="000000"/>
          <w:kern w:val="1"/>
          <w:sz w:val="16"/>
          <w:szCs w:val="16"/>
          <w:lang w:eastAsia="hi-IN" w:bidi="hi-IN"/>
        </w:rPr>
        <w:t xml:space="preserve"> </w:t>
      </w:r>
    </w:p>
    <w:p w:rsidR="003367C1" w:rsidRPr="00675EDB" w:rsidRDefault="003367C1" w:rsidP="00675EDB">
      <w:pPr>
        <w:rPr>
          <w:rFonts w:ascii="Arial" w:eastAsia="SimSun" w:hAnsi="Arial" w:cs="Arial"/>
          <w:color w:val="000000"/>
          <w:kern w:val="1"/>
          <w:sz w:val="16"/>
          <w:szCs w:val="16"/>
          <w:lang w:eastAsia="hi-IN" w:bidi="hi-IN"/>
        </w:rPr>
      </w:pPr>
      <w:r w:rsidRPr="00675EDB">
        <w:rPr>
          <w:rFonts w:ascii="Arial" w:eastAsia="SimSun" w:hAnsi="Arial" w:cs="Arial"/>
          <w:b/>
          <w:color w:val="000000"/>
          <w:kern w:val="1"/>
          <w:sz w:val="16"/>
          <w:szCs w:val="16"/>
          <w:lang w:eastAsia="hi-IN" w:bidi="hi-IN"/>
        </w:rPr>
        <w:t>9.4.</w:t>
      </w:r>
      <w:r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Após 30 (trinta) dias da falta de execução do objeto, será considerada inexecução total do contrato, o que ensejará a rescisão contratual.</w:t>
      </w:r>
    </w:p>
    <w:p w:rsidR="003367C1" w:rsidRPr="00675EDB" w:rsidRDefault="003367C1" w:rsidP="00675EDB">
      <w:pPr>
        <w:rPr>
          <w:rFonts w:ascii="Arial" w:eastAsia="SimSun" w:hAnsi="Arial" w:cs="Arial"/>
          <w:color w:val="000000"/>
          <w:kern w:val="1"/>
          <w:sz w:val="16"/>
          <w:szCs w:val="16"/>
          <w:lang w:eastAsia="hi-IN" w:bidi="hi-IN"/>
        </w:rPr>
      </w:pPr>
      <w:r w:rsidRPr="00675EDB">
        <w:rPr>
          <w:rFonts w:ascii="Arial" w:eastAsia="SimSun" w:hAnsi="Arial" w:cs="Arial"/>
          <w:b/>
          <w:color w:val="000000"/>
          <w:kern w:val="1"/>
          <w:sz w:val="16"/>
          <w:szCs w:val="16"/>
          <w:lang w:eastAsia="hi-IN" w:bidi="hi-IN"/>
        </w:rPr>
        <w:t>9.5.</w:t>
      </w:r>
      <w:r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367C1" w:rsidRPr="00675EDB" w:rsidRDefault="003367C1" w:rsidP="00675EDB">
      <w:pPr>
        <w:rPr>
          <w:rFonts w:ascii="Arial" w:eastAsia="SimSun" w:hAnsi="Arial" w:cs="Arial"/>
          <w:color w:val="000000"/>
          <w:kern w:val="1"/>
          <w:sz w:val="16"/>
          <w:szCs w:val="16"/>
          <w:lang w:eastAsia="hi-IN" w:bidi="hi-IN"/>
        </w:rPr>
      </w:pPr>
      <w:r w:rsidRPr="00675EDB">
        <w:rPr>
          <w:rFonts w:ascii="Arial" w:eastAsia="SimSun" w:hAnsi="Arial" w:cs="Arial"/>
          <w:b/>
          <w:color w:val="000000"/>
          <w:kern w:val="1"/>
          <w:sz w:val="16"/>
          <w:szCs w:val="16"/>
          <w:lang w:eastAsia="hi-IN" w:bidi="hi-IN"/>
        </w:rPr>
        <w:t>9.6.</w:t>
      </w:r>
      <w:r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3367C1" w:rsidRPr="00675EDB" w:rsidRDefault="003367C1" w:rsidP="00675EDB">
      <w:pPr>
        <w:rPr>
          <w:rFonts w:ascii="Arial" w:hAnsi="Arial" w:cs="Arial"/>
          <w:color w:val="000000"/>
          <w:sz w:val="16"/>
          <w:szCs w:val="16"/>
        </w:rPr>
      </w:pPr>
      <w:r w:rsidRPr="00675EDB">
        <w:rPr>
          <w:rFonts w:ascii="Arial" w:eastAsia="SimSun" w:hAnsi="Arial" w:cs="Arial"/>
          <w:b/>
          <w:color w:val="000000"/>
          <w:kern w:val="1"/>
          <w:sz w:val="16"/>
          <w:szCs w:val="16"/>
          <w:lang w:eastAsia="hi-IN" w:bidi="hi-IN"/>
        </w:rPr>
        <w:t>9.7</w:t>
      </w:r>
      <w:r w:rsidR="00675EDB">
        <w:rPr>
          <w:rFonts w:ascii="Arial" w:eastAsia="SimSun" w:hAnsi="Arial" w:cs="Arial"/>
          <w:b/>
          <w:color w:val="000000"/>
          <w:kern w:val="1"/>
          <w:sz w:val="16"/>
          <w:szCs w:val="16"/>
          <w:lang w:eastAsia="hi-IN" w:bidi="hi-IN"/>
        </w:rPr>
        <w:t>.</w:t>
      </w:r>
      <w:r w:rsidRPr="00675EDB">
        <w:rPr>
          <w:rFonts w:ascii="Arial" w:eastAsia="SimSun" w:hAnsi="Arial" w:cs="Arial"/>
          <w:color w:val="000000"/>
          <w:kern w:val="1"/>
          <w:sz w:val="16"/>
          <w:szCs w:val="16"/>
          <w:lang w:eastAsia="hi-IN" w:bidi="hi-IN"/>
        </w:rPr>
        <w:t xml:space="preserve"> </w:t>
      </w:r>
      <w:r w:rsidR="00675EDB" w:rsidRPr="00675EDB">
        <w:rPr>
          <w:rFonts w:ascii="Arial" w:hAnsi="Arial" w:cs="Arial"/>
          <w:color w:val="000000"/>
          <w:sz w:val="16"/>
          <w:szCs w:val="16"/>
        </w:rPr>
        <w:t>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675EDB" w:rsidRPr="003367C1" w:rsidRDefault="00675EDB"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 xml:space="preserve">As aquisições ou contratações adicionais não poderão exceder, por órgão ou entidade, a </w:t>
      </w:r>
      <w:r w:rsidR="00675EDB">
        <w:rPr>
          <w:rFonts w:ascii="Arial" w:hAnsi="Arial" w:cs="Arial"/>
          <w:color w:val="000000"/>
          <w:sz w:val="16"/>
          <w:szCs w:val="16"/>
        </w:rPr>
        <w:t>5</w:t>
      </w:r>
      <w:r w:rsidR="00334F76" w:rsidRPr="00510E49">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w:t>
      </w:r>
      <w:proofErr w:type="spellStart"/>
      <w:r w:rsidR="00675EDB">
        <w:rPr>
          <w:rFonts w:ascii="Arial" w:eastAsia="Times New Roman" w:hAnsi="Arial" w:cs="Arial"/>
          <w:kern w:val="0"/>
          <w:sz w:val="16"/>
          <w:szCs w:val="16"/>
          <w:lang w:eastAsia="pt-BR" w:bidi="ar-SA"/>
        </w:rPr>
        <w:t>dobro</w:t>
      </w:r>
      <w:r w:rsidR="00334F76" w:rsidRPr="00510E49">
        <w:rPr>
          <w:rFonts w:ascii="Arial" w:eastAsia="Times New Roman" w:hAnsi="Arial" w:cs="Arial"/>
          <w:kern w:val="0"/>
          <w:sz w:val="16"/>
          <w:szCs w:val="16"/>
          <w:lang w:eastAsia="pt-BR" w:bidi="ar-SA"/>
        </w:rPr>
        <w:t>o</w:t>
      </w:r>
      <w:proofErr w:type="spellEnd"/>
      <w:r w:rsidR="00334F76" w:rsidRPr="00510E4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lastRenderedPageBreak/>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3367C1" w:rsidP="009D2314">
      <w:pPr>
        <w:jc w:val="both"/>
        <w:rPr>
          <w:rFonts w:ascii="Arial" w:hAnsi="Arial" w:cs="Arial"/>
          <w:bCs/>
          <w:sz w:val="16"/>
          <w:szCs w:val="16"/>
        </w:rPr>
      </w:pPr>
      <w:r>
        <w:rPr>
          <w:rFonts w:ascii="Arial" w:hAnsi="Arial" w:cs="Arial"/>
          <w:b/>
          <w:bCs/>
          <w:sz w:val="16"/>
          <w:szCs w:val="16"/>
        </w:rPr>
        <w:t>SESAU</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Secretaria de Estado da S</w:t>
      </w:r>
      <w:r>
        <w:rPr>
          <w:rFonts w:ascii="Arial" w:hAnsi="Arial" w:cs="Arial"/>
          <w:sz w:val="16"/>
          <w:szCs w:val="16"/>
        </w:rPr>
        <w:t>aúde</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r>
      <w:r w:rsidR="004352E6">
        <w:rPr>
          <w:rFonts w:ascii="Arial" w:hAnsi="Arial" w:cs="Arial"/>
          <w:b/>
          <w:bCs/>
          <w:color w:val="000000"/>
          <w:sz w:val="16"/>
          <w:szCs w:val="16"/>
        </w:rPr>
        <w:t>SUELEN TORRES DA SILVA</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r w:rsidR="004352E6">
        <w:rPr>
          <w:rFonts w:ascii="Arial" w:hAnsi="Arial" w:cs="Arial"/>
          <w:bCs/>
          <w:color w:val="000000"/>
          <w:sz w:val="16"/>
          <w:szCs w:val="16"/>
        </w:rPr>
        <w:t xml:space="preserve"> Interina</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206244" w:rsidRPr="00510E49" w:rsidRDefault="00206244" w:rsidP="00526790">
      <w:pPr>
        <w:ind w:right="47"/>
        <w:jc w:val="both"/>
        <w:rPr>
          <w:rFonts w:ascii="Arial" w:hAnsi="Arial" w:cs="Arial"/>
          <w:b/>
          <w:bCs/>
          <w:color w:val="000000"/>
          <w:sz w:val="16"/>
          <w:szCs w:val="16"/>
        </w:rPr>
      </w:pPr>
    </w:p>
    <w:p w:rsidR="00C50BF7" w:rsidRPr="00510E49" w:rsidRDefault="00675EDB"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75EDB">
      <w:headerReference w:type="default" r:id="rId9"/>
      <w:pgSz w:w="11907" w:h="16840" w:code="9"/>
      <w:pgMar w:top="567" w:right="2126"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A03" w:rsidRDefault="00526A03">
      <w:r>
        <w:separator/>
      </w:r>
    </w:p>
  </w:endnote>
  <w:endnote w:type="continuationSeparator" w:id="0">
    <w:p w:rsidR="00526A03" w:rsidRDefault="00526A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A03" w:rsidRDefault="00526A03">
      <w:r>
        <w:separator/>
      </w:r>
    </w:p>
  </w:footnote>
  <w:footnote w:type="continuationSeparator" w:id="0">
    <w:p w:rsidR="00526A03" w:rsidRDefault="00526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A03" w:rsidRDefault="00526A0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18B2"/>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223F"/>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7C1"/>
    <w:rsid w:val="00336E30"/>
    <w:rsid w:val="003425A5"/>
    <w:rsid w:val="00345C03"/>
    <w:rsid w:val="00347658"/>
    <w:rsid w:val="003537BB"/>
    <w:rsid w:val="00353EAF"/>
    <w:rsid w:val="003540CB"/>
    <w:rsid w:val="00354314"/>
    <w:rsid w:val="003562C2"/>
    <w:rsid w:val="003645F7"/>
    <w:rsid w:val="003659F4"/>
    <w:rsid w:val="00370E3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52E6"/>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A03"/>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58AC"/>
    <w:rsid w:val="00675EDB"/>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7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810EA"/>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25F3"/>
    <w:rsid w:val="00D93EB7"/>
    <w:rsid w:val="00D961FE"/>
    <w:rsid w:val="00DA1255"/>
    <w:rsid w:val="00DA1F12"/>
    <w:rsid w:val="00DA2BE8"/>
    <w:rsid w:val="00DA3142"/>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0316"/>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675ED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007013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0783575">
      <w:bodyDiv w:val="1"/>
      <w:marLeft w:val="0"/>
      <w:marRight w:val="0"/>
      <w:marTop w:val="0"/>
      <w:marBottom w:val="0"/>
      <w:divBdr>
        <w:top w:val="none" w:sz="0" w:space="0" w:color="auto"/>
        <w:left w:val="none" w:sz="0" w:space="0" w:color="auto"/>
        <w:bottom w:val="none" w:sz="0" w:space="0" w:color="auto"/>
        <w:right w:val="none" w:sz="0" w:space="0" w:color="auto"/>
      </w:divBdr>
    </w:div>
    <w:div w:id="20228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E6225-1843-4F00-B5F8-5288D45D1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2743</Words>
  <Characters>15271</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2019-03-13T16:30:00Z</cp:lastPrinted>
  <dcterms:created xsi:type="dcterms:W3CDTF">2019-07-26T12:59:00Z</dcterms:created>
  <dcterms:modified xsi:type="dcterms:W3CDTF">2020-01-03T13:37:00Z</dcterms:modified>
</cp:coreProperties>
</file>