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9A4D38">
        <w:rPr>
          <w:rFonts w:ascii="Arial" w:hAnsi="Arial" w:cs="Arial"/>
          <w:b/>
          <w:sz w:val="16"/>
          <w:szCs w:val="16"/>
        </w:rPr>
        <w:t>20</w:t>
      </w:r>
      <w:r w:rsidR="000414F8">
        <w:rPr>
          <w:rFonts w:ascii="Arial" w:hAnsi="Arial" w:cs="Arial"/>
          <w:b/>
          <w:sz w:val="16"/>
          <w:szCs w:val="16"/>
        </w:rPr>
        <w:t>5</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0414F8">
        <w:rPr>
          <w:rFonts w:ascii="Arial" w:hAnsi="Arial" w:cs="Arial"/>
          <w:b/>
          <w:bCs/>
          <w:sz w:val="16"/>
          <w:szCs w:val="16"/>
        </w:rPr>
        <w:t>264</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0414F8" w:rsidRPr="000414F8">
        <w:rPr>
          <w:rFonts w:ascii="Arial" w:hAnsi="Arial" w:cs="Arial"/>
          <w:b/>
          <w:bCs/>
          <w:sz w:val="16"/>
          <w:szCs w:val="16"/>
        </w:rPr>
        <w:t>0029.277189/2019-27</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0414F8" w:rsidRPr="000414F8">
        <w:rPr>
          <w:rFonts w:ascii="Arial" w:hAnsi="Arial" w:cs="Arial"/>
          <w:color w:val="000000" w:themeColor="text1"/>
          <w:sz w:val="16"/>
          <w:szCs w:val="16"/>
        </w:rPr>
        <w:t xml:space="preserve">para futura e eventual contratação de empresa especializada na prestação de Serviços de Locação de Auditórios, Salas de Eventos, Hospedagens e Fornecimento de Alimentação (almoço, jantar, coffe-break, água mineral e cafezinho), para atendimento de eventos a serem promovidos pela Secretaria de Estado da Educação </w:t>
      </w:r>
      <w:r w:rsidR="000414F8">
        <w:rPr>
          <w:rFonts w:ascii="Arial" w:hAnsi="Arial" w:cs="Arial"/>
          <w:color w:val="000000" w:themeColor="text1"/>
          <w:sz w:val="16"/>
          <w:szCs w:val="16"/>
        </w:rPr>
        <w:t>–</w:t>
      </w:r>
      <w:r w:rsidR="000414F8" w:rsidRPr="000414F8">
        <w:rPr>
          <w:rFonts w:ascii="Arial" w:hAnsi="Arial" w:cs="Arial"/>
          <w:color w:val="000000" w:themeColor="text1"/>
          <w:sz w:val="16"/>
          <w:szCs w:val="16"/>
        </w:rPr>
        <w:t xml:space="preserve"> SEDUC</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0414F8" w:rsidRPr="000414F8">
        <w:rPr>
          <w:rFonts w:ascii="Arial" w:hAnsi="Arial" w:cs="Arial"/>
          <w:color w:val="000000" w:themeColor="text1"/>
          <w:sz w:val="16"/>
          <w:szCs w:val="16"/>
        </w:rPr>
        <w:t xml:space="preserve">para futura e eventual contratação de empresa especializada na prestação de Serviços de Locação de Auditórios, Salas de Eventos, Hospedagens e Fornecimento de Alimentação (almoço, jantar, coffe-break, água mineral e cafezinho), para atendimento de eventos a serem promovidos pela Secretaria de Estado da Educação </w:t>
      </w:r>
      <w:r w:rsidR="000414F8">
        <w:rPr>
          <w:rFonts w:ascii="Arial" w:hAnsi="Arial" w:cs="Arial"/>
          <w:color w:val="000000" w:themeColor="text1"/>
          <w:sz w:val="16"/>
          <w:szCs w:val="16"/>
        </w:rPr>
        <w:t>–</w:t>
      </w:r>
      <w:r w:rsidR="000414F8" w:rsidRPr="000414F8">
        <w:rPr>
          <w:rFonts w:ascii="Arial" w:hAnsi="Arial" w:cs="Arial"/>
          <w:color w:val="000000" w:themeColor="text1"/>
          <w:sz w:val="16"/>
          <w:szCs w:val="16"/>
        </w:rPr>
        <w:t xml:space="preserve"> SEDUC</w:t>
      </w:r>
      <w:r w:rsidR="000414F8">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92049D" w:rsidRDefault="00206244" w:rsidP="00A958C6">
      <w:pPr>
        <w:rPr>
          <w:rFonts w:ascii="Arial" w:hAnsi="Arial" w:cs="Arial"/>
          <w:sz w:val="16"/>
          <w:szCs w:val="16"/>
        </w:rPr>
      </w:pPr>
      <w:r w:rsidRPr="0092049D">
        <w:rPr>
          <w:rFonts w:ascii="Arial" w:hAnsi="Arial" w:cs="Arial"/>
          <w:b/>
          <w:sz w:val="16"/>
          <w:szCs w:val="16"/>
        </w:rPr>
        <w:t>6.3</w:t>
      </w:r>
      <w:r w:rsidRPr="0092049D">
        <w:rPr>
          <w:rFonts w:ascii="Arial" w:hAnsi="Arial" w:cs="Arial"/>
          <w:sz w:val="16"/>
          <w:szCs w:val="16"/>
        </w:rPr>
        <w:t xml:space="preserve">. </w:t>
      </w:r>
      <w:r w:rsidR="00543D22" w:rsidRPr="0092049D">
        <w:rPr>
          <w:rFonts w:ascii="Arial" w:hAnsi="Arial" w:cs="Arial"/>
          <w:b/>
          <w:sz w:val="16"/>
          <w:szCs w:val="16"/>
        </w:rPr>
        <w:t>DO PRAZO</w:t>
      </w:r>
      <w:r w:rsidR="00C47785" w:rsidRPr="0092049D">
        <w:rPr>
          <w:rFonts w:ascii="Arial" w:hAnsi="Arial" w:cs="Arial"/>
          <w:b/>
          <w:sz w:val="16"/>
          <w:szCs w:val="16"/>
        </w:rPr>
        <w:t xml:space="preserve"> DE ENTREGA</w:t>
      </w:r>
      <w:r w:rsidR="00A55D1F" w:rsidRPr="0092049D">
        <w:rPr>
          <w:rFonts w:ascii="Arial" w:hAnsi="Arial" w:cs="Arial"/>
          <w:b/>
          <w:sz w:val="16"/>
          <w:szCs w:val="16"/>
        </w:rPr>
        <w:t>:</w:t>
      </w:r>
      <w:r w:rsidR="00A55D1F" w:rsidRPr="0092049D">
        <w:rPr>
          <w:rFonts w:ascii="Arial" w:hAnsi="Arial" w:cs="Arial"/>
          <w:sz w:val="16"/>
          <w:szCs w:val="16"/>
        </w:rPr>
        <w:t xml:space="preserve"> </w:t>
      </w:r>
      <w:r w:rsidR="000414F8" w:rsidRPr="000414F8">
        <w:rPr>
          <w:rFonts w:ascii="Arial" w:hAnsi="Arial" w:cs="Arial"/>
          <w:sz w:val="16"/>
          <w:szCs w:val="16"/>
        </w:rPr>
        <w:t xml:space="preserve">Os serviços deverão ser iniciados na data programada do evento, conforme disposições definidas na Ordem de Serviço. </w:t>
      </w:r>
      <w:r w:rsidR="000414F8" w:rsidRPr="000414F8">
        <w:rPr>
          <w:rFonts w:ascii="Arial" w:hAnsi="Arial" w:cs="Arial"/>
          <w:b/>
          <w:sz w:val="16"/>
          <w:szCs w:val="16"/>
        </w:rPr>
        <w:t>6.3.</w:t>
      </w:r>
      <w:r w:rsidR="000414F8">
        <w:rPr>
          <w:rFonts w:ascii="Arial" w:hAnsi="Arial" w:cs="Arial"/>
          <w:b/>
          <w:sz w:val="16"/>
          <w:szCs w:val="16"/>
        </w:rPr>
        <w:t>1</w:t>
      </w:r>
      <w:r w:rsidR="000414F8" w:rsidRPr="000414F8">
        <w:rPr>
          <w:rFonts w:ascii="Arial" w:hAnsi="Arial" w:cs="Arial"/>
          <w:b/>
          <w:sz w:val="16"/>
          <w:szCs w:val="16"/>
        </w:rPr>
        <w:t>.</w:t>
      </w:r>
      <w:r w:rsidR="000414F8" w:rsidRPr="000414F8">
        <w:rPr>
          <w:rFonts w:ascii="Arial" w:hAnsi="Arial" w:cs="Arial"/>
          <w:sz w:val="16"/>
          <w:szCs w:val="16"/>
        </w:rPr>
        <w:t xml:space="preserve"> A Ordem de Serviço deverá ser encaminhada até 10 (dez) dias, antes da data programada do evento.</w:t>
      </w:r>
    </w:p>
    <w:p w:rsidR="00C47785" w:rsidRDefault="00766492" w:rsidP="00A958C6">
      <w:pPr>
        <w:rPr>
          <w:rFonts w:ascii="Arial" w:hAnsi="Arial" w:cs="Arial"/>
          <w:sz w:val="16"/>
          <w:szCs w:val="16"/>
        </w:rPr>
      </w:pPr>
      <w:r w:rsidRPr="0092049D">
        <w:rPr>
          <w:rFonts w:ascii="Arial" w:hAnsi="Arial" w:cs="Arial"/>
          <w:b/>
          <w:sz w:val="16"/>
          <w:szCs w:val="16"/>
        </w:rPr>
        <w:t>6.</w:t>
      </w:r>
      <w:r w:rsidR="00206244" w:rsidRPr="0092049D">
        <w:rPr>
          <w:rFonts w:ascii="Arial" w:hAnsi="Arial" w:cs="Arial"/>
          <w:b/>
          <w:sz w:val="16"/>
          <w:szCs w:val="16"/>
        </w:rPr>
        <w:t xml:space="preserve">4. </w:t>
      </w:r>
      <w:r w:rsidR="00BD70CF" w:rsidRPr="0092049D">
        <w:rPr>
          <w:rFonts w:ascii="Arial" w:hAnsi="Arial" w:cs="Arial"/>
          <w:b/>
          <w:bCs/>
          <w:sz w:val="16"/>
          <w:szCs w:val="16"/>
        </w:rPr>
        <w:t>LOCAL/HORÁRIO DA ENTREGA</w:t>
      </w:r>
      <w:r w:rsidR="00206244" w:rsidRPr="0092049D">
        <w:rPr>
          <w:rFonts w:ascii="Arial" w:hAnsi="Arial" w:cs="Arial"/>
          <w:sz w:val="16"/>
          <w:szCs w:val="16"/>
        </w:rPr>
        <w:t xml:space="preserve">: </w:t>
      </w:r>
      <w:r w:rsidR="000414F8" w:rsidRPr="000414F8">
        <w:rPr>
          <w:rFonts w:ascii="Arial" w:hAnsi="Arial" w:cs="Arial"/>
          <w:sz w:val="16"/>
          <w:szCs w:val="16"/>
        </w:rPr>
        <w:t xml:space="preserve">Os serviços, objeto desta licitação, deverão ser executados nas dependências da CONTRATADA, na zona rural no município de Presidente Médici, conforme especificação do Lote no item 3.3 </w:t>
      </w:r>
      <w:r w:rsidR="000414F8">
        <w:rPr>
          <w:rFonts w:ascii="Arial" w:hAnsi="Arial" w:cs="Arial"/>
          <w:sz w:val="16"/>
          <w:szCs w:val="16"/>
        </w:rPr>
        <w:t>do</w:t>
      </w:r>
      <w:r w:rsidR="000414F8" w:rsidRPr="000414F8">
        <w:rPr>
          <w:rFonts w:ascii="Arial" w:hAnsi="Arial" w:cs="Arial"/>
          <w:sz w:val="16"/>
          <w:szCs w:val="16"/>
        </w:rPr>
        <w:t xml:space="preserve"> Termo de Referência.</w:t>
      </w:r>
    </w:p>
    <w:p w:rsidR="00A958C6" w:rsidRPr="007D5C8F" w:rsidRDefault="00A958C6" w:rsidP="00A958C6">
      <w:pPr>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9.1.</w:t>
      </w:r>
      <w:r w:rsidRPr="000414F8">
        <w:rPr>
          <w:rFonts w:ascii="Arial" w:hAnsi="Arial" w:cs="Arial"/>
          <w:sz w:val="16"/>
          <w:szCs w:val="16"/>
        </w:rPr>
        <w:t xml:space="preserve"> Além daquelas determinadas por leis, decretos, regulamentos e demais dispositivos legais, a CONTRATADA estará sujeita as sanções definidas neste Termo de Referência.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9.2.</w:t>
      </w:r>
      <w:r w:rsidRPr="000414F8">
        <w:rPr>
          <w:rFonts w:ascii="Arial" w:hAnsi="Arial" w:cs="Arial"/>
          <w:sz w:val="16"/>
          <w:szCs w:val="16"/>
        </w:rPr>
        <w:t xml:space="preserve"> Sem prejuízo das sanções cominadas no art. 87, I, III e IV, da Lei nº 8.666/93, pela inexecução total ou parcial do instrumento de contrato, a Contratante poderá, garantida a prévia e ampla defesa, aplicar à Contratada multa (Tabela – Item 9.11), sobre a parcela inadimplida do contrato.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9.3.</w:t>
      </w:r>
      <w:r w:rsidRPr="000414F8">
        <w:rPr>
          <w:rFonts w:ascii="Arial" w:hAnsi="Arial" w:cs="Arial"/>
          <w:sz w:val="16"/>
          <w:szCs w:val="16"/>
        </w:rPr>
        <w:t xml:space="preserve"> Se a adjudicatária se recusar a retirar o instrumento contratual injustificadamente ou se não apresentar situação regular na ocasião dos recebimentos, garantida a prévia e ampla defesa, aplicar à Contratada multa de até 10% (dez por cento) sobre a parcela inadimplida.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9.4.</w:t>
      </w:r>
      <w:r w:rsidRPr="000414F8">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0414F8">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9.5.</w:t>
      </w:r>
      <w:r w:rsidRPr="000414F8">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9.6.</w:t>
      </w:r>
      <w:r w:rsidRPr="000414F8">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9.7.</w:t>
      </w:r>
      <w:r w:rsidRPr="000414F8">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w:t>
      </w:r>
      <w:r w:rsidRPr="000414F8">
        <w:rPr>
          <w:rFonts w:ascii="Arial" w:hAnsi="Arial" w:cs="Arial"/>
          <w:sz w:val="16"/>
          <w:szCs w:val="16"/>
        </w:rPr>
        <w:t xml:space="preserve"> </w:t>
      </w:r>
      <w:r w:rsidRPr="000414F8">
        <w:rPr>
          <w:rFonts w:ascii="Arial" w:hAnsi="Arial" w:cs="Arial"/>
          <w:sz w:val="16"/>
          <w:szCs w:val="16"/>
        </w:rPr>
        <w:t xml:space="preserve">contratado ressarcir a Administração pelos prejuízos resultantes e depois de decorrido o prazo da sanção aplicada com base na legislação vigente.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9.8.</w:t>
      </w:r>
      <w:r w:rsidRPr="000414F8">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9.9.</w:t>
      </w:r>
      <w:r w:rsidRPr="000414F8">
        <w:rPr>
          <w:rFonts w:ascii="Arial" w:hAnsi="Arial" w:cs="Arial"/>
          <w:sz w:val="16"/>
          <w:szCs w:val="16"/>
        </w:rPr>
        <w:t xml:space="preserve"> São exemplos de infração administrativa penalizáveis, nos termos da Lei nº 8.666, de 1993, da Lei nº 10.520, de 2002, dos Decretos Estaduais nº 12.205/06, 12.234/06 (Pregão Eletrônico e Presencial):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 xml:space="preserve">a) Inexecução total ou parcial do contrato;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b) Apresentação de documentação falsa;</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 xml:space="preserve">c) Comportamento inidôneo;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 xml:space="preserve">d) Fraude fiscal;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 xml:space="preserve">e) Descumprimento de qualquer dos deveres elencados no Edital ou no Contrato; </w:t>
      </w:r>
    </w:p>
    <w:p w:rsid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9.10.</w:t>
      </w:r>
      <w:r w:rsidRPr="000414F8">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A958C6"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b/>
          <w:sz w:val="16"/>
          <w:szCs w:val="16"/>
        </w:rPr>
        <w:t>9.11.</w:t>
      </w:r>
      <w:r w:rsidRPr="000414F8">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
        <w:gridCol w:w="4848"/>
        <w:gridCol w:w="433"/>
        <w:gridCol w:w="1126"/>
      </w:tblGrid>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Item</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Descrição da Infração</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Grau</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Multa (*)</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01</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Executar a entrega incompleta, paliativo substitutivo como por caráter permanente, ou deixar de providenciar recomposição complementar;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0,4%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Recusar-se a executar as determinações feitas pela FISCALIZAÇÃO, sem motivo justificado;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04</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1,6%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03</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Suspender ou interromper, salvo por motivo de força maior ou caso fortuito, os serviços contratuais, por dia e por unidade de atendimento;</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3,2%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04</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Destruir ou danificar documentos por culpa ou dolo de seus agentes;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3,2%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05</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Permitir situação que crie a possibilidade ou cause danos físico, lesão corporal ou consequências letais;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06</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4,0%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06</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Inexecução total do contrato;</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10</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10 %</w:t>
            </w:r>
          </w:p>
        </w:tc>
      </w:tr>
      <w:tr w:rsidR="000414F8" w:rsidRPr="000414F8" w:rsidTr="000414F8">
        <w:trPr>
          <w:tblCellSpacing w:w="0" w:type="dxa"/>
        </w:trPr>
        <w:tc>
          <w:tcPr>
            <w:tcW w:w="6796" w:type="dxa"/>
            <w:gridSpan w:val="4"/>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Para os itens a seguir, deixar de:</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07</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Manter a documentação de habilitação atualizada; por item,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08</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Substituir funcionários que se conduza de modo inconveniente ou não atenda às necessidades do órgão, por funcionário, por dia;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0,2 %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09</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Iniciar a entrega nos prazos estabelecidos, observados os limites mínimos estabelecidos por este Contrato; por item,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10</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Ressarcir o órgão por eventuais danos causados por sua culpa;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0,4%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11</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0,8%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12</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Cumprir determinação formal ou instrução complementar da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0,8% por dia</w:t>
            </w:r>
          </w:p>
        </w:tc>
      </w:tr>
      <w:tr w:rsidR="000414F8" w:rsidRPr="000414F8" w:rsidTr="000414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13</w:t>
            </w:r>
          </w:p>
        </w:tc>
        <w:tc>
          <w:tcPr>
            <w:tcW w:w="4848"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0414F8" w:rsidRPr="000414F8" w:rsidRDefault="000414F8" w:rsidP="000414F8">
            <w:pPr>
              <w:suppressAutoHyphens/>
              <w:spacing w:line="100" w:lineRule="atLeast"/>
              <w:ind w:right="47"/>
              <w:jc w:val="both"/>
              <w:rPr>
                <w:rFonts w:ascii="Arial" w:hAnsi="Arial" w:cs="Arial"/>
                <w:sz w:val="16"/>
                <w:szCs w:val="16"/>
              </w:rPr>
            </w:pPr>
            <w:r w:rsidRPr="000414F8">
              <w:rPr>
                <w:rFonts w:ascii="Arial" w:hAnsi="Arial" w:cs="Arial"/>
                <w:sz w:val="16"/>
                <w:szCs w:val="16"/>
              </w:rPr>
              <w:t>3,2% por dia</w:t>
            </w:r>
          </w:p>
        </w:tc>
      </w:tr>
    </w:tbl>
    <w:p w:rsidR="000414F8" w:rsidRPr="000414F8" w:rsidRDefault="000414F8" w:rsidP="000414F8">
      <w:pPr>
        <w:suppressAutoHyphens/>
        <w:spacing w:line="100" w:lineRule="atLeast"/>
        <w:ind w:right="47"/>
        <w:jc w:val="both"/>
        <w:rPr>
          <w:rFonts w:ascii="Arial" w:hAnsi="Arial" w:cs="Arial"/>
          <w:i/>
          <w:sz w:val="16"/>
          <w:szCs w:val="16"/>
        </w:rPr>
      </w:pPr>
      <w:bookmarkStart w:id="1" w:name="_Hlk532300742"/>
      <w:r w:rsidRPr="000414F8">
        <w:rPr>
          <w:rFonts w:ascii="Arial" w:hAnsi="Arial" w:cs="Arial"/>
          <w:i/>
          <w:sz w:val="16"/>
          <w:szCs w:val="16"/>
        </w:rPr>
        <w:t>(*) Incide sobre a parte inadimplida.</w:t>
      </w:r>
      <w:bookmarkEnd w:id="1"/>
    </w:p>
    <w:p w:rsidR="000414F8" w:rsidRDefault="000414F8" w:rsidP="00BF6C67">
      <w:pPr>
        <w:rPr>
          <w:rFonts w:ascii="Arial" w:hAnsi="Arial" w:cs="Arial"/>
          <w:sz w:val="16"/>
          <w:szCs w:val="16"/>
        </w:rPr>
      </w:pPr>
      <w:r w:rsidRPr="000414F8">
        <w:rPr>
          <w:rFonts w:ascii="Arial" w:hAnsi="Arial" w:cs="Arial"/>
          <w:b/>
          <w:sz w:val="16"/>
          <w:szCs w:val="16"/>
        </w:rPr>
        <w:t>9.12</w:t>
      </w:r>
      <w:r w:rsidRPr="000414F8">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0414F8" w:rsidRDefault="000414F8" w:rsidP="00BF6C67">
      <w:pPr>
        <w:rPr>
          <w:rFonts w:ascii="Arial" w:hAnsi="Arial" w:cs="Arial"/>
          <w:sz w:val="16"/>
          <w:szCs w:val="16"/>
        </w:rPr>
      </w:pPr>
      <w:r w:rsidRPr="000414F8">
        <w:rPr>
          <w:rFonts w:ascii="Arial" w:hAnsi="Arial" w:cs="Arial"/>
          <w:b/>
          <w:sz w:val="16"/>
          <w:szCs w:val="16"/>
        </w:rPr>
        <w:t>9.13.</w:t>
      </w:r>
      <w:r w:rsidRPr="000414F8">
        <w:rPr>
          <w:rFonts w:ascii="Arial" w:hAnsi="Arial" w:cs="Arial"/>
          <w:sz w:val="16"/>
          <w:szCs w:val="16"/>
        </w:rPr>
        <w:t xml:space="preserve"> Após 30 (trinta) dias da falta de execução do objeto, será considerada inexecução total do contrato, o que ensejará a rescisão contratual. </w:t>
      </w:r>
    </w:p>
    <w:p w:rsidR="000414F8" w:rsidRDefault="000414F8" w:rsidP="00BF6C67">
      <w:pPr>
        <w:rPr>
          <w:rFonts w:ascii="Arial" w:hAnsi="Arial" w:cs="Arial"/>
          <w:sz w:val="16"/>
          <w:szCs w:val="16"/>
        </w:rPr>
      </w:pPr>
      <w:r w:rsidRPr="000414F8">
        <w:rPr>
          <w:rFonts w:ascii="Arial" w:hAnsi="Arial" w:cs="Arial"/>
          <w:b/>
          <w:sz w:val="16"/>
          <w:szCs w:val="16"/>
        </w:rPr>
        <w:t>9.14.</w:t>
      </w:r>
      <w:r w:rsidRPr="000414F8">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0414F8" w:rsidRDefault="000414F8" w:rsidP="00BF6C67">
      <w:pPr>
        <w:rPr>
          <w:rFonts w:ascii="Arial" w:hAnsi="Arial" w:cs="Arial"/>
          <w:sz w:val="16"/>
          <w:szCs w:val="16"/>
        </w:rPr>
      </w:pPr>
      <w:r w:rsidRPr="000414F8">
        <w:rPr>
          <w:rFonts w:ascii="Arial" w:hAnsi="Arial" w:cs="Arial"/>
          <w:b/>
          <w:sz w:val="16"/>
          <w:szCs w:val="16"/>
        </w:rPr>
        <w:t>9.15.</w:t>
      </w:r>
      <w:r w:rsidRPr="000414F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414F8" w:rsidRDefault="000414F8" w:rsidP="00BF6C67">
      <w:pPr>
        <w:rPr>
          <w:rFonts w:ascii="Arial" w:hAnsi="Arial" w:cs="Arial"/>
          <w:sz w:val="16"/>
          <w:szCs w:val="16"/>
        </w:rPr>
      </w:pPr>
      <w:r w:rsidRPr="000414F8">
        <w:rPr>
          <w:rFonts w:ascii="Arial" w:hAnsi="Arial" w:cs="Arial"/>
          <w:b/>
          <w:sz w:val="16"/>
          <w:szCs w:val="16"/>
        </w:rPr>
        <w:t>9.16.</w:t>
      </w:r>
      <w:r w:rsidRPr="000414F8">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0414F8" w:rsidRDefault="000414F8" w:rsidP="00BF6C67">
      <w:pPr>
        <w:rPr>
          <w:rFonts w:ascii="Arial" w:hAnsi="Arial" w:cs="Arial"/>
          <w:sz w:val="16"/>
          <w:szCs w:val="16"/>
        </w:rPr>
      </w:pPr>
      <w:r w:rsidRPr="000414F8">
        <w:rPr>
          <w:rFonts w:ascii="Arial" w:hAnsi="Arial" w:cs="Arial"/>
          <w:b/>
          <w:sz w:val="16"/>
          <w:szCs w:val="16"/>
        </w:rPr>
        <w:t>9.17.</w:t>
      </w:r>
      <w:r w:rsidRPr="000414F8">
        <w:rPr>
          <w:rFonts w:ascii="Arial" w:hAnsi="Arial" w:cs="Arial"/>
          <w:sz w:val="16"/>
          <w:szCs w:val="16"/>
        </w:rPr>
        <w:t xml:space="preserve"> A sanção será obrigatoriamente registrada no Sistema de Cadastramento Unificado de Fornecedores – SICAF, bem como em sistemas Estaduais. </w:t>
      </w:r>
      <w:r w:rsidRPr="000414F8">
        <w:rPr>
          <w:rFonts w:ascii="Arial" w:hAnsi="Arial" w:cs="Arial"/>
          <w:b/>
          <w:sz w:val="16"/>
          <w:szCs w:val="16"/>
        </w:rPr>
        <w:t>9.18.</w:t>
      </w:r>
      <w:r w:rsidRPr="000414F8">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414F8" w:rsidRDefault="000414F8" w:rsidP="00BF6C67">
      <w:pPr>
        <w:rPr>
          <w:rFonts w:ascii="Arial" w:hAnsi="Arial" w:cs="Arial"/>
          <w:sz w:val="16"/>
          <w:szCs w:val="16"/>
        </w:rPr>
      </w:pPr>
      <w:r w:rsidRPr="000414F8">
        <w:rPr>
          <w:rFonts w:ascii="Arial" w:hAnsi="Arial" w:cs="Arial"/>
          <w:sz w:val="16"/>
          <w:szCs w:val="16"/>
        </w:rPr>
        <w:t xml:space="preserve">a) tenham sofrido condenações definitivas por praticarem, por meio dolosos, fraude fiscal no recolhimento de tributos; </w:t>
      </w:r>
    </w:p>
    <w:p w:rsidR="000414F8" w:rsidRDefault="000414F8" w:rsidP="00BF6C67">
      <w:pPr>
        <w:rPr>
          <w:rFonts w:ascii="Arial" w:hAnsi="Arial" w:cs="Arial"/>
          <w:sz w:val="16"/>
          <w:szCs w:val="16"/>
        </w:rPr>
      </w:pPr>
      <w:r w:rsidRPr="000414F8">
        <w:rPr>
          <w:rFonts w:ascii="Arial" w:hAnsi="Arial" w:cs="Arial"/>
          <w:sz w:val="16"/>
          <w:szCs w:val="16"/>
        </w:rPr>
        <w:t xml:space="preserve">b) tenham praticado atos ilícitos visando a frustrar os objetivos da licitação; </w:t>
      </w:r>
    </w:p>
    <w:p w:rsidR="000414F8" w:rsidRDefault="000414F8" w:rsidP="00BF6C67">
      <w:pPr>
        <w:rPr>
          <w:rFonts w:ascii="Arial" w:hAnsi="Arial" w:cs="Arial"/>
          <w:sz w:val="16"/>
          <w:szCs w:val="16"/>
        </w:rPr>
      </w:pPr>
      <w:r w:rsidRPr="000414F8">
        <w:rPr>
          <w:rFonts w:ascii="Arial" w:hAnsi="Arial" w:cs="Arial"/>
          <w:sz w:val="16"/>
          <w:szCs w:val="16"/>
        </w:rPr>
        <w:t xml:space="preserve">c) demonstrem não possuir idoneidade para contratar com a Administração em virtude de atos ilícitos praticados. </w:t>
      </w:r>
    </w:p>
    <w:p w:rsidR="000414F8" w:rsidRDefault="000414F8" w:rsidP="00BF6C67">
      <w:pPr>
        <w:rPr>
          <w:rFonts w:ascii="Arial" w:hAnsi="Arial" w:cs="Arial"/>
          <w:sz w:val="16"/>
          <w:szCs w:val="16"/>
        </w:rPr>
      </w:pPr>
      <w:r w:rsidRPr="000414F8">
        <w:rPr>
          <w:rFonts w:ascii="Arial" w:hAnsi="Arial" w:cs="Arial"/>
          <w:b/>
          <w:sz w:val="16"/>
          <w:szCs w:val="16"/>
        </w:rPr>
        <w:t>9.19.</w:t>
      </w:r>
      <w:r w:rsidRPr="000414F8">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 </w:t>
      </w:r>
    </w:p>
    <w:p w:rsidR="000414F8" w:rsidRDefault="000414F8" w:rsidP="00BF6C67">
      <w:pPr>
        <w:rPr>
          <w:rFonts w:ascii="Arial" w:hAnsi="Arial" w:cs="Arial"/>
          <w:sz w:val="16"/>
          <w:szCs w:val="16"/>
        </w:rPr>
      </w:pPr>
      <w:r w:rsidRPr="000414F8">
        <w:rPr>
          <w:rFonts w:ascii="Arial" w:hAnsi="Arial" w:cs="Arial"/>
          <w:b/>
          <w:sz w:val="16"/>
          <w:szCs w:val="16"/>
        </w:rPr>
        <w:t>9.20.</w:t>
      </w:r>
      <w:r w:rsidRPr="000414F8">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previstas, que poderão ser aplicadas cumulativamente. </w:t>
      </w:r>
    </w:p>
    <w:p w:rsidR="000414F8" w:rsidRPr="000414F8" w:rsidRDefault="000414F8" w:rsidP="00BF6C67">
      <w:pPr>
        <w:rPr>
          <w:rFonts w:ascii="Arial" w:hAnsi="Arial" w:cs="Arial"/>
          <w:sz w:val="16"/>
          <w:szCs w:val="16"/>
        </w:rPr>
      </w:pPr>
      <w:r w:rsidRPr="000414F8">
        <w:rPr>
          <w:rFonts w:ascii="Arial" w:hAnsi="Arial" w:cs="Arial"/>
          <w:b/>
          <w:sz w:val="16"/>
          <w:szCs w:val="16"/>
        </w:rPr>
        <w:t>9.21.</w:t>
      </w:r>
      <w:r w:rsidRPr="000414F8">
        <w:rPr>
          <w:rFonts w:ascii="Arial" w:hAnsi="Arial" w:cs="Arial"/>
          <w:sz w:val="16"/>
          <w:szCs w:val="16"/>
        </w:rPr>
        <w:t xml:space="preserve"> Nenhuma sanção será aplicada sem o devido processo administrativo, que prevê defesa prévia do interessado e recurso nos prazos definidos em Lei, sendo-lhe franqueada vista ao processo.</w:t>
      </w:r>
    </w:p>
    <w:p w:rsidR="000414F8" w:rsidRPr="000414F8" w:rsidRDefault="000414F8" w:rsidP="00BF6C67">
      <w:pPr>
        <w:rPr>
          <w:rFonts w:ascii="Arial" w:hAnsi="Arial" w:cs="Arial"/>
          <w:b/>
          <w:sz w:val="16"/>
          <w:szCs w:val="16"/>
        </w:rPr>
      </w:pPr>
      <w:r w:rsidRPr="000414F8">
        <w:rPr>
          <w:rFonts w:ascii="Arial" w:hAnsi="Arial" w:cs="Arial"/>
          <w:b/>
          <w:sz w:val="16"/>
          <w:szCs w:val="16"/>
        </w:rPr>
        <w:t>9.22. Tratando-se de sanção do art. 7° da Lei do Pregão, os seus efeitos recaem apenas na esfera administrativa do órgão que a aplicou".</w:t>
      </w: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4E08A8">
        <w:rPr>
          <w:rFonts w:ascii="Arial" w:hAnsi="Arial" w:cs="Arial"/>
          <w:color w:val="000000"/>
          <w:sz w:val="16"/>
          <w:szCs w:val="16"/>
        </w:rPr>
        <w:t>5</w:t>
      </w:r>
      <w:r w:rsidR="00334F76" w:rsidRPr="00263325">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4E08A8">
        <w:rPr>
          <w:rFonts w:ascii="Arial" w:eastAsia="Times New Roman" w:hAnsi="Arial" w:cs="Arial"/>
          <w:kern w:val="0"/>
          <w:sz w:val="16"/>
          <w:szCs w:val="16"/>
          <w:lang w:eastAsia="pt-BR" w:bidi="ar-SA"/>
        </w:rPr>
        <w:t>dobr</w:t>
      </w:r>
      <w:r w:rsidR="00334F76" w:rsidRPr="00263325">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646FFB" w:rsidRDefault="00C30F67" w:rsidP="009D2314">
      <w:pPr>
        <w:jc w:val="both"/>
        <w:rPr>
          <w:rFonts w:ascii="Arial" w:hAnsi="Arial" w:cs="Arial"/>
          <w:b/>
          <w:bCs/>
          <w:sz w:val="16"/>
          <w:szCs w:val="16"/>
        </w:rPr>
      </w:pPr>
      <w:r>
        <w:rPr>
          <w:rStyle w:val="Strong"/>
          <w:rFonts w:ascii="Arial" w:eastAsiaTheme="majorEastAsia" w:hAnsi="Arial" w:cs="Arial"/>
          <w:color w:val="000000"/>
          <w:sz w:val="16"/>
          <w:szCs w:val="16"/>
        </w:rPr>
        <w:t>SEDUC</w:t>
      </w:r>
      <w:r w:rsidR="00904C85" w:rsidRPr="00904C85">
        <w:rPr>
          <w:rStyle w:val="Strong"/>
          <w:rFonts w:ascii="Arial" w:eastAsiaTheme="majorEastAsia" w:hAnsi="Arial" w:cs="Arial"/>
          <w:b w:val="0"/>
          <w:color w:val="000000"/>
          <w:sz w:val="16"/>
          <w:szCs w:val="16"/>
        </w:rPr>
        <w:t xml:space="preserve"> </w:t>
      </w:r>
      <w:r w:rsidR="001C7375">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sidR="001C7375">
        <w:rPr>
          <w:rStyle w:val="Strong"/>
          <w:rFonts w:ascii="Arial" w:eastAsiaTheme="majorEastAsia" w:hAnsi="Arial" w:cs="Arial"/>
          <w:b w:val="0"/>
          <w:color w:val="000000"/>
          <w:sz w:val="16"/>
          <w:szCs w:val="16"/>
        </w:rPr>
        <w:t xml:space="preserve">Secretaria de Estado da </w:t>
      </w:r>
      <w:r>
        <w:rPr>
          <w:rStyle w:val="Strong"/>
          <w:rFonts w:ascii="Arial" w:eastAsiaTheme="majorEastAsia" w:hAnsi="Arial" w:cs="Arial"/>
          <w:b w:val="0"/>
          <w:color w:val="000000"/>
          <w:sz w:val="16"/>
          <w:szCs w:val="16"/>
        </w:rPr>
        <w:t>Educação</w:t>
      </w:r>
      <w:r w:rsidR="00904C85" w:rsidRPr="00904C85">
        <w:rPr>
          <w:rStyle w:val="Strong"/>
          <w:rFonts w:ascii="Arial" w:eastAsiaTheme="majorEastAsia" w:hAnsi="Arial" w:cs="Arial"/>
          <w:b w:val="0"/>
          <w:color w:val="000000"/>
          <w:sz w:val="16"/>
          <w:szCs w:val="16"/>
        </w:rPr>
        <w:t>.</w:t>
      </w:r>
      <w:bookmarkStart w:id="2" w:name="_GoBack"/>
      <w:bookmarkEnd w:id="2"/>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w:t>
      </w:r>
      <w:r w:rsidR="009A4D38">
        <w:rPr>
          <w:rFonts w:ascii="Arial" w:hAnsi="Arial" w:cs="Arial"/>
          <w:b/>
          <w:bCs/>
          <w:color w:val="000000"/>
          <w:sz w:val="16"/>
          <w:szCs w:val="16"/>
        </w:rPr>
        <w:t>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C63E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43" w:rsidRDefault="00AF494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147"/>
    <w:rsid w:val="00004918"/>
    <w:rsid w:val="000129D2"/>
    <w:rsid w:val="000139D3"/>
    <w:rsid w:val="0001507D"/>
    <w:rsid w:val="000159AA"/>
    <w:rsid w:val="00021611"/>
    <w:rsid w:val="000233CF"/>
    <w:rsid w:val="0002491F"/>
    <w:rsid w:val="000253F7"/>
    <w:rsid w:val="00033E39"/>
    <w:rsid w:val="00033FC6"/>
    <w:rsid w:val="00040004"/>
    <w:rsid w:val="000414F8"/>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33B1"/>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63E4"/>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C7572"/>
    <w:rsid w:val="004D097B"/>
    <w:rsid w:val="004D3087"/>
    <w:rsid w:val="004D3DE4"/>
    <w:rsid w:val="004D4485"/>
    <w:rsid w:val="004D4FEA"/>
    <w:rsid w:val="004E08A8"/>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28CF"/>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B4E"/>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46FFB"/>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4D38"/>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58C6"/>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3F7"/>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0F67"/>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56F669-390E-4072-B404-2FFA1CF4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76189573">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5344772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88058-F3D5-457A-A196-464F333CD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3279</Words>
  <Characters>18550</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2019-10-10T16:08:00Z</cp:lastPrinted>
  <dcterms:created xsi:type="dcterms:W3CDTF">2019-10-10T15:55:00Z</dcterms:created>
  <dcterms:modified xsi:type="dcterms:W3CDTF">2019-10-10T16:10:00Z</dcterms:modified>
</cp:coreProperties>
</file>