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8219E0">
        <w:rPr>
          <w:rFonts w:ascii="Arial" w:hAnsi="Arial" w:cs="Arial"/>
          <w:b/>
          <w:sz w:val="16"/>
          <w:szCs w:val="16"/>
        </w:rPr>
        <w:t>193</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8219E0">
        <w:rPr>
          <w:rFonts w:ascii="Arial" w:hAnsi="Arial" w:cs="Arial"/>
          <w:b/>
          <w:bCs/>
          <w:sz w:val="16"/>
          <w:szCs w:val="16"/>
        </w:rPr>
        <w:t>229</w:t>
      </w:r>
      <w:r w:rsidR="005925DA" w:rsidRPr="00F61533">
        <w:rPr>
          <w:rFonts w:ascii="Arial" w:hAnsi="Arial" w:cs="Arial"/>
          <w:b/>
          <w:bCs/>
          <w:sz w:val="16"/>
          <w:szCs w:val="16"/>
        </w:rPr>
        <w:t>/201</w:t>
      </w:r>
      <w:r w:rsidR="008219E0">
        <w:rPr>
          <w:rFonts w:ascii="Arial" w:hAnsi="Arial" w:cs="Arial"/>
          <w:b/>
          <w:bCs/>
          <w:sz w:val="16"/>
          <w:szCs w:val="16"/>
        </w:rPr>
        <w:t>9</w:t>
      </w:r>
    </w:p>
    <w:p w:rsidR="000F74A8" w:rsidRPr="00F61533" w:rsidRDefault="009D2314" w:rsidP="009D2314">
      <w:pPr>
        <w:jc w:val="both"/>
        <w:rPr>
          <w:rFonts w:ascii="Arial" w:hAnsi="Arial" w:cs="Arial"/>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4541E8" w:rsidRPr="004541E8">
        <w:rPr>
          <w:rFonts w:ascii="Arial" w:hAnsi="Arial" w:cs="Arial"/>
          <w:b/>
          <w:bCs/>
          <w:sz w:val="16"/>
          <w:szCs w:val="16"/>
        </w:rPr>
        <w:t>0030.</w:t>
      </w:r>
      <w:r w:rsidR="008219E0">
        <w:rPr>
          <w:rFonts w:ascii="Arial" w:hAnsi="Arial" w:cs="Arial"/>
          <w:b/>
          <w:bCs/>
          <w:sz w:val="16"/>
          <w:szCs w:val="16"/>
        </w:rPr>
        <w:t>083432</w:t>
      </w:r>
      <w:r w:rsidR="004541E8" w:rsidRPr="004541E8">
        <w:rPr>
          <w:rFonts w:ascii="Arial" w:hAnsi="Arial" w:cs="Arial"/>
          <w:b/>
          <w:bCs/>
          <w:sz w:val="16"/>
          <w:szCs w:val="16"/>
        </w:rPr>
        <w:t>/201</w:t>
      </w:r>
      <w:r w:rsidR="008219E0">
        <w:rPr>
          <w:rFonts w:ascii="Arial" w:hAnsi="Arial" w:cs="Arial"/>
          <w:b/>
          <w:bCs/>
          <w:sz w:val="16"/>
          <w:szCs w:val="16"/>
        </w:rPr>
        <w:t>9</w:t>
      </w:r>
      <w:r w:rsidR="004541E8" w:rsidRPr="004541E8">
        <w:rPr>
          <w:rFonts w:ascii="Arial" w:hAnsi="Arial" w:cs="Arial"/>
          <w:b/>
          <w:bCs/>
          <w:sz w:val="16"/>
          <w:szCs w:val="16"/>
        </w:rPr>
        <w:t>-</w:t>
      </w:r>
      <w:r w:rsidR="008219E0">
        <w:rPr>
          <w:rFonts w:ascii="Arial" w:hAnsi="Arial" w:cs="Arial"/>
          <w:b/>
          <w:bCs/>
          <w:sz w:val="16"/>
          <w:szCs w:val="16"/>
        </w:rPr>
        <w:t>17</w:t>
      </w:r>
      <w:hyperlink r:id="rId9" w:tgtFrame="ifrVisualizacao" w:history="1"/>
    </w:p>
    <w:p w:rsidR="00145D13" w:rsidRPr="00F61533" w:rsidRDefault="00145D13" w:rsidP="009D2314">
      <w:pPr>
        <w:jc w:val="both"/>
        <w:rPr>
          <w:rFonts w:ascii="Arial" w:hAnsi="Arial" w:cs="Arial"/>
          <w:b/>
          <w:bCs/>
          <w:sz w:val="16"/>
          <w:szCs w:val="16"/>
        </w:rPr>
      </w:pPr>
    </w:p>
    <w:p w:rsidR="009D2314" w:rsidRPr="00F61533" w:rsidRDefault="002E300A" w:rsidP="001C2AEA">
      <w:pPr>
        <w:pStyle w:val="Ttulo"/>
        <w:rPr>
          <w:rFonts w:ascii="Arial" w:hAnsi="Arial" w:cs="Arial"/>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8219E0">
        <w:rPr>
          <w:rFonts w:ascii="Arial" w:hAnsi="Arial" w:cs="Arial"/>
          <w:b/>
          <w:color w:val="000000"/>
          <w:sz w:val="16"/>
          <w:szCs w:val="16"/>
        </w:rPr>
        <w:t xml:space="preserve"> </w:t>
      </w:r>
      <w:r w:rsidR="008219E0">
        <w:rPr>
          <w:rFonts w:ascii="Arial" w:hAnsi="Arial" w:cs="Arial"/>
          <w:color w:val="000000"/>
          <w:sz w:val="16"/>
          <w:szCs w:val="16"/>
        </w:rPr>
        <w:t>para</w:t>
      </w:r>
      <w:r w:rsidR="007F65D5" w:rsidRPr="00F61533">
        <w:rPr>
          <w:rFonts w:ascii="Arial" w:hAnsi="Arial" w:cs="Arial"/>
          <w:color w:val="000000"/>
          <w:sz w:val="16"/>
          <w:szCs w:val="16"/>
        </w:rPr>
        <w:t xml:space="preserve"> </w:t>
      </w:r>
      <w:r w:rsidR="008219E0" w:rsidRPr="008219E0">
        <w:rPr>
          <w:rFonts w:ascii="Arial" w:hAnsi="Arial" w:cs="Arial"/>
          <w:color w:val="000000"/>
          <w:sz w:val="16"/>
          <w:szCs w:val="16"/>
        </w:rPr>
        <w:t>futuras e eventuais contratações de empresa especializada no fornecimento de alimentação “</w:t>
      </w:r>
      <w:proofErr w:type="spellStart"/>
      <w:r w:rsidR="008219E0" w:rsidRPr="008219E0">
        <w:rPr>
          <w:rFonts w:ascii="Arial" w:hAnsi="Arial" w:cs="Arial"/>
          <w:i/>
          <w:iCs/>
          <w:color w:val="000000"/>
          <w:sz w:val="16"/>
          <w:szCs w:val="16"/>
        </w:rPr>
        <w:t>Coffee</w:t>
      </w:r>
      <w:proofErr w:type="spellEnd"/>
      <w:r w:rsidR="008219E0" w:rsidRPr="008219E0">
        <w:rPr>
          <w:rFonts w:ascii="Arial" w:hAnsi="Arial" w:cs="Arial"/>
          <w:i/>
          <w:iCs/>
          <w:color w:val="000000"/>
          <w:sz w:val="16"/>
          <w:szCs w:val="16"/>
        </w:rPr>
        <w:t xml:space="preserve"> </w:t>
      </w:r>
      <w:proofErr w:type="spellStart"/>
      <w:r w:rsidR="008219E0" w:rsidRPr="008219E0">
        <w:rPr>
          <w:rFonts w:ascii="Arial" w:hAnsi="Arial" w:cs="Arial"/>
          <w:i/>
          <w:iCs/>
          <w:color w:val="000000"/>
          <w:sz w:val="16"/>
          <w:szCs w:val="16"/>
        </w:rPr>
        <w:t>Break</w:t>
      </w:r>
      <w:proofErr w:type="spellEnd"/>
      <w:r w:rsidR="008219E0" w:rsidRPr="008219E0">
        <w:rPr>
          <w:rFonts w:ascii="Arial" w:hAnsi="Arial" w:cs="Arial"/>
          <w:color w:val="000000"/>
          <w:sz w:val="16"/>
          <w:szCs w:val="16"/>
        </w:rPr>
        <w:t>”, destinado para eventos da Secretaria de Estado de Finanças – SEFIN/RO</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880399" w:rsidRDefault="00FF045E" w:rsidP="004741FB">
      <w:pPr>
        <w:ind w:right="-1"/>
        <w:jc w:val="both"/>
        <w:rPr>
          <w:rFonts w:ascii="Arial" w:hAnsi="Arial" w:cs="Arial"/>
          <w:sz w:val="16"/>
          <w:szCs w:val="16"/>
        </w:rPr>
      </w:pPr>
      <w:r w:rsidRPr="00F61533">
        <w:rPr>
          <w:rFonts w:ascii="Arial" w:hAnsi="Arial" w:cs="Arial"/>
          <w:sz w:val="16"/>
          <w:szCs w:val="16"/>
        </w:rPr>
        <w:t xml:space="preserve">Registro de Preços </w:t>
      </w:r>
      <w:r w:rsidR="004541E8">
        <w:rPr>
          <w:rFonts w:ascii="Arial" w:hAnsi="Arial" w:cs="Arial"/>
          <w:sz w:val="16"/>
          <w:szCs w:val="16"/>
        </w:rPr>
        <w:t xml:space="preserve">para </w:t>
      </w:r>
      <w:r w:rsidR="008219E0" w:rsidRPr="008219E0">
        <w:rPr>
          <w:rFonts w:ascii="Arial" w:hAnsi="Arial" w:cs="Arial"/>
          <w:color w:val="000000"/>
          <w:sz w:val="16"/>
          <w:szCs w:val="16"/>
        </w:rPr>
        <w:t>futuras e eventuais contratações de empresa especializada no fornecimento de alimentação “</w:t>
      </w:r>
      <w:proofErr w:type="spellStart"/>
      <w:r w:rsidR="008219E0" w:rsidRPr="008219E0">
        <w:rPr>
          <w:rFonts w:ascii="Arial" w:hAnsi="Arial" w:cs="Arial"/>
          <w:i/>
          <w:iCs/>
          <w:color w:val="000000"/>
          <w:sz w:val="16"/>
          <w:szCs w:val="16"/>
        </w:rPr>
        <w:t>Coffee</w:t>
      </w:r>
      <w:proofErr w:type="spellEnd"/>
      <w:r w:rsidR="008219E0" w:rsidRPr="008219E0">
        <w:rPr>
          <w:rFonts w:ascii="Arial" w:hAnsi="Arial" w:cs="Arial"/>
          <w:i/>
          <w:iCs/>
          <w:color w:val="000000"/>
          <w:sz w:val="16"/>
          <w:szCs w:val="16"/>
        </w:rPr>
        <w:t xml:space="preserve"> </w:t>
      </w:r>
      <w:proofErr w:type="spellStart"/>
      <w:r w:rsidR="008219E0" w:rsidRPr="008219E0">
        <w:rPr>
          <w:rFonts w:ascii="Arial" w:hAnsi="Arial" w:cs="Arial"/>
          <w:i/>
          <w:iCs/>
          <w:color w:val="000000"/>
          <w:sz w:val="16"/>
          <w:szCs w:val="16"/>
        </w:rPr>
        <w:t>Break</w:t>
      </w:r>
      <w:proofErr w:type="spellEnd"/>
      <w:r w:rsidR="008219E0" w:rsidRPr="008219E0">
        <w:rPr>
          <w:rFonts w:ascii="Arial" w:hAnsi="Arial" w:cs="Arial"/>
          <w:color w:val="000000"/>
          <w:sz w:val="16"/>
          <w:szCs w:val="16"/>
        </w:rPr>
        <w:t>”, destinado para eventos da Secretaria de Estado de Finanças – SEFIN/RO</w:t>
      </w:r>
      <w:r w:rsidR="004541E8">
        <w:rPr>
          <w:rFonts w:ascii="Arial" w:hAnsi="Arial" w:cs="Arial"/>
          <w:sz w:val="16"/>
          <w:szCs w:val="16"/>
        </w:rPr>
        <w:t>.</w:t>
      </w:r>
    </w:p>
    <w:p w:rsidR="004541E8" w:rsidRPr="00F61533" w:rsidRDefault="004541E8" w:rsidP="004741FB">
      <w:pPr>
        <w:ind w:right="-1"/>
        <w:jc w:val="both"/>
        <w:rPr>
          <w:rFonts w:ascii="Arial" w:hAnsi="Arial" w:cs="Arial"/>
          <w:b/>
          <w:bCs/>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219E0" w:rsidRPr="008219E0" w:rsidRDefault="00206244" w:rsidP="00F61533">
      <w:pPr>
        <w:widowControl w:val="0"/>
        <w:tabs>
          <w:tab w:val="left" w:pos="1466"/>
        </w:tabs>
        <w:autoSpaceDE w:val="0"/>
        <w:autoSpaceDN w:val="0"/>
        <w:spacing w:before="84" w:line="235" w:lineRule="auto"/>
        <w:ind w:right="290"/>
        <w:jc w:val="both"/>
        <w:rPr>
          <w:rFonts w:ascii="Arial" w:hAnsi="Arial" w:cs="Arial"/>
          <w:b/>
          <w:color w:val="000000"/>
          <w:sz w:val="16"/>
          <w:szCs w:val="16"/>
        </w:rPr>
      </w:pPr>
      <w:r w:rsidRPr="008219E0">
        <w:rPr>
          <w:rFonts w:ascii="Arial" w:hAnsi="Arial" w:cs="Arial"/>
          <w:b/>
          <w:sz w:val="16"/>
          <w:szCs w:val="16"/>
        </w:rPr>
        <w:t>6.3.</w:t>
      </w:r>
      <w:r w:rsidRPr="008219E0">
        <w:rPr>
          <w:rFonts w:ascii="Arial" w:hAnsi="Arial" w:cs="Arial"/>
          <w:sz w:val="16"/>
          <w:szCs w:val="16"/>
        </w:rPr>
        <w:t xml:space="preserve"> </w:t>
      </w:r>
      <w:r w:rsidRPr="008219E0">
        <w:rPr>
          <w:rFonts w:ascii="Arial" w:hAnsi="Arial" w:cs="Arial"/>
          <w:b/>
          <w:sz w:val="16"/>
          <w:szCs w:val="16"/>
        </w:rPr>
        <w:t>DO PRAZO DE ENTREGA</w:t>
      </w:r>
      <w:r w:rsidR="006D1053" w:rsidRPr="008219E0">
        <w:rPr>
          <w:rFonts w:ascii="Arial" w:hAnsi="Arial" w:cs="Arial"/>
          <w:sz w:val="16"/>
          <w:szCs w:val="16"/>
        </w:rPr>
        <w:t>:</w:t>
      </w:r>
      <w:r w:rsidR="00416202" w:rsidRPr="008219E0">
        <w:rPr>
          <w:rFonts w:ascii="Arial" w:hAnsi="Arial" w:cs="Arial"/>
          <w:sz w:val="16"/>
          <w:szCs w:val="16"/>
        </w:rPr>
        <w:t xml:space="preserve"> </w:t>
      </w:r>
      <w:r w:rsidR="008219E0" w:rsidRPr="008219E0">
        <w:rPr>
          <w:rFonts w:ascii="Arial" w:hAnsi="Arial" w:cs="Arial"/>
          <w:color w:val="000000"/>
          <w:sz w:val="16"/>
          <w:szCs w:val="16"/>
        </w:rPr>
        <w:t>O serviço será recebido:</w:t>
      </w:r>
    </w:p>
    <w:p w:rsidR="004541E8" w:rsidRPr="008219E0" w:rsidRDefault="004541E8" w:rsidP="00F61533">
      <w:pPr>
        <w:widowControl w:val="0"/>
        <w:tabs>
          <w:tab w:val="left" w:pos="1466"/>
        </w:tabs>
        <w:autoSpaceDE w:val="0"/>
        <w:autoSpaceDN w:val="0"/>
        <w:spacing w:before="84" w:line="235" w:lineRule="auto"/>
        <w:ind w:right="290"/>
        <w:jc w:val="both"/>
        <w:rPr>
          <w:rFonts w:ascii="Arial" w:hAnsi="Arial" w:cs="Arial"/>
          <w:color w:val="000000"/>
          <w:sz w:val="16"/>
          <w:szCs w:val="16"/>
        </w:rPr>
      </w:pPr>
      <w:r w:rsidRPr="008219E0">
        <w:rPr>
          <w:rFonts w:ascii="Arial" w:hAnsi="Arial" w:cs="Arial"/>
          <w:b/>
          <w:color w:val="000000"/>
          <w:sz w:val="16"/>
          <w:szCs w:val="16"/>
        </w:rPr>
        <w:t>6.3.1.</w:t>
      </w:r>
      <w:r w:rsidRPr="008219E0">
        <w:rPr>
          <w:rFonts w:ascii="Arial" w:hAnsi="Arial" w:cs="Arial"/>
          <w:color w:val="000000"/>
          <w:sz w:val="16"/>
          <w:szCs w:val="16"/>
        </w:rPr>
        <w:t xml:space="preserve"> </w:t>
      </w:r>
      <w:r w:rsidR="008219E0" w:rsidRPr="008219E0">
        <w:rPr>
          <w:rStyle w:val="Forte"/>
          <w:rFonts w:ascii="Arial" w:eastAsiaTheme="majorEastAsia" w:hAnsi="Arial" w:cs="Arial"/>
          <w:color w:val="000000"/>
          <w:sz w:val="16"/>
          <w:szCs w:val="16"/>
          <w:u w:val="single"/>
        </w:rPr>
        <w:t>Provisoriamente</w:t>
      </w:r>
      <w:r w:rsidR="008219E0" w:rsidRPr="008219E0">
        <w:rPr>
          <w:rFonts w:ascii="Arial" w:hAnsi="Arial" w:cs="Arial"/>
          <w:color w:val="000000"/>
          <w:sz w:val="16"/>
          <w:szCs w:val="16"/>
        </w:rPr>
        <w:t xml:space="preserve"> no prazo de até </w:t>
      </w:r>
      <w:proofErr w:type="gramStart"/>
      <w:r w:rsidR="008219E0" w:rsidRPr="008219E0">
        <w:rPr>
          <w:rFonts w:ascii="Arial" w:hAnsi="Arial" w:cs="Arial"/>
          <w:color w:val="000000"/>
          <w:sz w:val="16"/>
          <w:szCs w:val="16"/>
        </w:rPr>
        <w:t>3</w:t>
      </w:r>
      <w:proofErr w:type="gramEnd"/>
      <w:r w:rsidR="008219E0" w:rsidRPr="008219E0">
        <w:rPr>
          <w:rFonts w:ascii="Arial" w:hAnsi="Arial" w:cs="Arial"/>
          <w:color w:val="000000"/>
          <w:sz w:val="16"/>
          <w:szCs w:val="16"/>
        </w:rPr>
        <w:t xml:space="preserve"> (três) dias uteis, pelo responsável pelo acompanhamento e fiscalização do contrato, para efeito de posterior verificação de sua conformidade com a especificações constantes neste Termo de Referência e na proposta, mediante termo circunstanciado; e</w:t>
      </w:r>
    </w:p>
    <w:p w:rsidR="004541E8" w:rsidRPr="008219E0" w:rsidRDefault="004541E8" w:rsidP="00F61533">
      <w:pPr>
        <w:widowControl w:val="0"/>
        <w:tabs>
          <w:tab w:val="left" w:pos="1466"/>
        </w:tabs>
        <w:autoSpaceDE w:val="0"/>
        <w:autoSpaceDN w:val="0"/>
        <w:spacing w:before="84" w:line="235" w:lineRule="auto"/>
        <w:ind w:right="290"/>
        <w:jc w:val="both"/>
        <w:rPr>
          <w:rFonts w:ascii="Arial" w:hAnsi="Arial" w:cs="Arial"/>
          <w:color w:val="000000"/>
          <w:sz w:val="16"/>
          <w:szCs w:val="16"/>
        </w:rPr>
      </w:pPr>
      <w:r w:rsidRPr="008219E0">
        <w:rPr>
          <w:rFonts w:ascii="Arial" w:hAnsi="Arial" w:cs="Arial"/>
          <w:b/>
          <w:color w:val="000000"/>
          <w:sz w:val="16"/>
          <w:szCs w:val="16"/>
        </w:rPr>
        <w:t>6.3.2.</w:t>
      </w:r>
      <w:r w:rsidRPr="008219E0">
        <w:rPr>
          <w:rFonts w:ascii="Arial" w:hAnsi="Arial" w:cs="Arial"/>
          <w:color w:val="000000"/>
          <w:sz w:val="16"/>
          <w:szCs w:val="16"/>
        </w:rPr>
        <w:t xml:space="preserve"> </w:t>
      </w:r>
      <w:r w:rsidR="008219E0" w:rsidRPr="008219E0">
        <w:rPr>
          <w:rStyle w:val="Forte"/>
          <w:rFonts w:ascii="Arial" w:eastAsiaTheme="majorEastAsia" w:hAnsi="Arial" w:cs="Arial"/>
          <w:color w:val="000000"/>
          <w:sz w:val="16"/>
          <w:szCs w:val="16"/>
          <w:u w:val="single"/>
        </w:rPr>
        <w:t>Definitivamente</w:t>
      </w:r>
      <w:r w:rsidR="008219E0" w:rsidRPr="008219E0">
        <w:rPr>
          <w:rStyle w:val="Forte"/>
          <w:rFonts w:ascii="Arial" w:eastAsiaTheme="majorEastAsia" w:hAnsi="Arial" w:cs="Arial"/>
          <w:color w:val="000000"/>
          <w:sz w:val="16"/>
          <w:szCs w:val="16"/>
        </w:rPr>
        <w:t> </w:t>
      </w:r>
      <w:r w:rsidR="008219E0" w:rsidRPr="008219E0">
        <w:rPr>
          <w:rFonts w:ascii="Arial" w:hAnsi="Arial" w:cs="Arial"/>
          <w:color w:val="000000"/>
          <w:sz w:val="16"/>
          <w:szCs w:val="16"/>
        </w:rPr>
        <w:t>no prazo de até 15 (quinze) dias uteis, contados do recebimento provisório, pelo responsável pelo acompanhamento e fiscalização do contrato, após a verificação da qualidade e quantidade dos serviços executados e matérias empregadas.</w:t>
      </w:r>
    </w:p>
    <w:p w:rsidR="00AD34D5" w:rsidRPr="008219E0" w:rsidRDefault="00E370C4" w:rsidP="008219E0">
      <w:pPr>
        <w:widowControl w:val="0"/>
        <w:tabs>
          <w:tab w:val="left" w:pos="1466"/>
        </w:tabs>
        <w:autoSpaceDE w:val="0"/>
        <w:autoSpaceDN w:val="0"/>
        <w:spacing w:before="84" w:line="235" w:lineRule="auto"/>
        <w:ind w:right="290"/>
        <w:jc w:val="both"/>
        <w:rPr>
          <w:rFonts w:ascii="Arial" w:hAnsi="Arial" w:cs="Arial"/>
          <w:b/>
          <w:color w:val="000000"/>
          <w:sz w:val="16"/>
          <w:szCs w:val="16"/>
        </w:rPr>
      </w:pPr>
      <w:r w:rsidRPr="008219E0">
        <w:rPr>
          <w:rFonts w:ascii="Arial" w:hAnsi="Arial" w:cs="Arial"/>
          <w:b/>
          <w:sz w:val="16"/>
          <w:szCs w:val="16"/>
        </w:rPr>
        <w:t xml:space="preserve">6.4. DO LOCAL DE ENTREGA: </w:t>
      </w:r>
      <w:r w:rsidR="008219E0" w:rsidRPr="008219E0">
        <w:rPr>
          <w:rFonts w:ascii="Arial" w:hAnsi="Arial" w:cs="Arial"/>
          <w:color w:val="000000"/>
          <w:sz w:val="16"/>
          <w:szCs w:val="16"/>
        </w:rPr>
        <w:t>Os serviços deverão ser executados, de acordo com as solicitações feitas pelas unidades que compõem esta Secretaria de Estado de Finanças, na Capital.</w:t>
      </w:r>
      <w:r w:rsidR="008219E0" w:rsidRPr="008219E0">
        <w:rPr>
          <w:rFonts w:ascii="Arial" w:hAnsi="Arial" w:cs="Arial"/>
          <w:b/>
          <w:color w:val="000000"/>
          <w:sz w:val="16"/>
          <w:szCs w:val="16"/>
        </w:rPr>
        <w:t xml:space="preserve"> </w:t>
      </w:r>
    </w:p>
    <w:p w:rsidR="008219E0" w:rsidRPr="00F61533" w:rsidRDefault="008219E0" w:rsidP="008219E0">
      <w:pPr>
        <w:widowControl w:val="0"/>
        <w:tabs>
          <w:tab w:val="left" w:pos="1466"/>
        </w:tabs>
        <w:autoSpaceDE w:val="0"/>
        <w:autoSpaceDN w:val="0"/>
        <w:spacing w:before="84" w:line="235" w:lineRule="auto"/>
        <w:ind w:right="290"/>
        <w:jc w:val="both"/>
        <w:rPr>
          <w:rFonts w:ascii="Arial" w:hAnsi="Arial" w:cs="Arial"/>
          <w:sz w:val="16"/>
          <w:szCs w:val="16"/>
        </w:rPr>
      </w:pP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541E8" w:rsidRDefault="004541E8" w:rsidP="004E5DE6">
      <w:pPr>
        <w:pStyle w:val="Lista2"/>
        <w:ind w:left="0" w:firstLine="0"/>
        <w:jc w:val="both"/>
        <w:rPr>
          <w:b/>
          <w:bCs/>
          <w:sz w:val="16"/>
          <w:szCs w:val="16"/>
        </w:rPr>
      </w:pPr>
    </w:p>
    <w:p w:rsidR="00C601F9" w:rsidRPr="003E09FE" w:rsidRDefault="006E65B3" w:rsidP="004E5DE6">
      <w:pPr>
        <w:pStyle w:val="Lista2"/>
        <w:ind w:left="0" w:firstLine="0"/>
        <w:jc w:val="both"/>
        <w:rPr>
          <w:b/>
          <w:bCs/>
          <w:sz w:val="16"/>
          <w:szCs w:val="16"/>
        </w:rPr>
      </w:pPr>
      <w:r w:rsidRPr="003E09FE">
        <w:rPr>
          <w:b/>
          <w:bCs/>
          <w:sz w:val="16"/>
          <w:szCs w:val="16"/>
        </w:rPr>
        <w:t xml:space="preserve">9. </w:t>
      </w:r>
      <w:r w:rsidR="009D2314" w:rsidRPr="003E09FE">
        <w:rPr>
          <w:b/>
          <w:bCs/>
          <w:sz w:val="16"/>
          <w:szCs w:val="16"/>
        </w:rPr>
        <w:t xml:space="preserve">DAS SANÇÕES </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.1.</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do instrumento contratual.</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lastRenderedPageBreak/>
        <w:t>9</w:t>
      </w:r>
      <w:r w:rsidR="004541E8" w:rsidRPr="003E09FE">
        <w:rPr>
          <w:rFonts w:ascii="Arial" w:hAnsi="Arial" w:cs="Arial"/>
          <w:b/>
          <w:color w:val="000000"/>
          <w:sz w:val="16"/>
          <w:szCs w:val="16"/>
        </w:rPr>
        <w:t>.2.</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.3.</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ou Municípios, e será descredenciado no Cadastro de Fornecedores dos Órgãos da Administração Pública e Estadual, pelo prazo de até 05 (cinco) anos, sem prejuízo das multas previstas no Edital e das demais cominações legais.</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.4.</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seus dados serão encaminhados ao órgão competente par que seja inscrita na dívida ativa, podendo, ainda a Administração proceder à cobrança judicial da multa.</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.5.</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r w:rsidR="004541E8" w:rsidRPr="003E09FE">
        <w:rPr>
          <w:rFonts w:ascii="Arial" w:hAnsi="Arial" w:cs="Arial"/>
          <w:color w:val="000000"/>
          <w:sz w:val="16"/>
          <w:szCs w:val="16"/>
        </w:rPr>
        <w:t xml:space="preserve"> </w:t>
      </w:r>
    </w:p>
    <w:p w:rsidR="008219E0"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.6.</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745602" w:rsidRPr="003E09FE" w:rsidRDefault="0068055E"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9</w:t>
      </w:r>
      <w:r w:rsidR="004541E8" w:rsidRPr="003E09FE">
        <w:rPr>
          <w:rFonts w:ascii="Arial" w:hAnsi="Arial" w:cs="Arial"/>
          <w:color w:val="000000"/>
          <w:sz w:val="16"/>
          <w:szCs w:val="16"/>
        </w:rPr>
        <w:t>.</w:t>
      </w:r>
      <w:r w:rsidR="004541E8" w:rsidRPr="003E09FE">
        <w:rPr>
          <w:rFonts w:ascii="Arial" w:hAnsi="Arial" w:cs="Arial"/>
          <w:b/>
          <w:color w:val="000000"/>
          <w:sz w:val="16"/>
          <w:szCs w:val="16"/>
        </w:rPr>
        <w:t>7.</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45602"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.8.</w:t>
      </w:r>
      <w:r w:rsidR="004541E8" w:rsidRPr="003E09FE">
        <w:rPr>
          <w:rFonts w:ascii="Arial" w:hAnsi="Arial" w:cs="Arial"/>
          <w:color w:val="000000"/>
          <w:sz w:val="16"/>
          <w:szCs w:val="16"/>
        </w:rPr>
        <w:t xml:space="preserve"> </w:t>
      </w:r>
      <w:r w:rsidR="008219E0" w:rsidRPr="003E09FE">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745602" w:rsidRPr="003E09FE" w:rsidRDefault="004541E8"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 xml:space="preserve">a) </w:t>
      </w:r>
      <w:r w:rsidR="00107DEC" w:rsidRPr="003E09FE">
        <w:rPr>
          <w:rFonts w:ascii="Arial" w:hAnsi="Arial" w:cs="Arial"/>
          <w:color w:val="000000"/>
          <w:sz w:val="16"/>
          <w:szCs w:val="16"/>
        </w:rPr>
        <w:t>Inexecução total ou parcial do contrato;</w:t>
      </w:r>
    </w:p>
    <w:p w:rsidR="00745602" w:rsidRPr="003E09FE" w:rsidRDefault="004541E8"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 xml:space="preserve">b) </w:t>
      </w:r>
      <w:r w:rsidR="00107DEC" w:rsidRPr="003E09FE">
        <w:rPr>
          <w:rFonts w:ascii="Arial" w:hAnsi="Arial" w:cs="Arial"/>
          <w:color w:val="000000"/>
          <w:sz w:val="16"/>
          <w:szCs w:val="16"/>
        </w:rPr>
        <w:t>Apresentação de documentação falsa;</w:t>
      </w:r>
    </w:p>
    <w:p w:rsidR="00745602" w:rsidRPr="003E09FE" w:rsidRDefault="004541E8"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 xml:space="preserve">c) </w:t>
      </w:r>
      <w:r w:rsidR="00107DEC" w:rsidRPr="003E09FE">
        <w:rPr>
          <w:rFonts w:ascii="Arial" w:hAnsi="Arial" w:cs="Arial"/>
          <w:color w:val="000000"/>
          <w:sz w:val="16"/>
          <w:szCs w:val="16"/>
        </w:rPr>
        <w:t>Comportamento inidôneo;</w:t>
      </w:r>
    </w:p>
    <w:p w:rsidR="00745602" w:rsidRPr="003E09FE" w:rsidRDefault="004541E8"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 xml:space="preserve">d) </w:t>
      </w:r>
      <w:r w:rsidR="00107DEC" w:rsidRPr="003E09FE">
        <w:rPr>
          <w:rFonts w:ascii="Arial" w:hAnsi="Arial" w:cs="Arial"/>
          <w:color w:val="000000"/>
          <w:sz w:val="16"/>
          <w:szCs w:val="16"/>
        </w:rPr>
        <w:t>Fraude fiscal;</w:t>
      </w:r>
    </w:p>
    <w:p w:rsidR="00745602" w:rsidRPr="003E09FE" w:rsidRDefault="004541E8" w:rsidP="0068055E">
      <w:pPr>
        <w:pStyle w:val="PargrafodaLista1"/>
        <w:ind w:left="0"/>
        <w:jc w:val="both"/>
        <w:rPr>
          <w:rFonts w:ascii="Arial" w:hAnsi="Arial" w:cs="Arial"/>
          <w:color w:val="000000"/>
          <w:sz w:val="16"/>
          <w:szCs w:val="16"/>
        </w:rPr>
      </w:pPr>
      <w:r w:rsidRPr="003E09FE">
        <w:rPr>
          <w:rFonts w:ascii="Arial" w:hAnsi="Arial" w:cs="Arial"/>
          <w:color w:val="000000"/>
          <w:sz w:val="16"/>
          <w:szCs w:val="16"/>
        </w:rPr>
        <w:t xml:space="preserve">e) </w:t>
      </w:r>
      <w:r w:rsidR="00107DEC" w:rsidRPr="003E09FE">
        <w:rPr>
          <w:rFonts w:ascii="Arial" w:hAnsi="Arial" w:cs="Arial"/>
          <w:color w:val="000000"/>
          <w:sz w:val="16"/>
          <w:szCs w:val="16"/>
        </w:rPr>
        <w:t>Descumprimento de qualquer dos deveres elencados no Termo de Referência ou no Contrato.</w:t>
      </w:r>
    </w:p>
    <w:p w:rsidR="00745602"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w:t>
      </w:r>
      <w:r w:rsidR="00107DEC" w:rsidRPr="003E09FE">
        <w:rPr>
          <w:rFonts w:ascii="Arial" w:hAnsi="Arial" w:cs="Arial"/>
          <w:b/>
          <w:color w:val="000000"/>
          <w:sz w:val="16"/>
          <w:szCs w:val="16"/>
        </w:rPr>
        <w:t>9</w:t>
      </w:r>
      <w:r w:rsidR="004541E8" w:rsidRPr="003E09FE">
        <w:rPr>
          <w:rFonts w:ascii="Arial" w:hAnsi="Arial" w:cs="Arial"/>
          <w:b/>
          <w:color w:val="000000"/>
          <w:sz w:val="16"/>
          <w:szCs w:val="16"/>
        </w:rPr>
        <w:t>.</w:t>
      </w:r>
      <w:r w:rsidR="004541E8" w:rsidRPr="003E09FE">
        <w:rPr>
          <w:rFonts w:ascii="Arial" w:hAnsi="Arial" w:cs="Arial"/>
          <w:color w:val="000000"/>
          <w:sz w:val="16"/>
          <w:szCs w:val="16"/>
        </w:rPr>
        <w:t xml:space="preserve"> </w:t>
      </w:r>
      <w:r w:rsidR="00107DEC" w:rsidRPr="003E09FE">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4541E8"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4541E8" w:rsidRPr="003E09FE">
        <w:rPr>
          <w:rFonts w:ascii="Arial" w:hAnsi="Arial" w:cs="Arial"/>
          <w:b/>
          <w:color w:val="000000"/>
          <w:sz w:val="16"/>
          <w:szCs w:val="16"/>
        </w:rPr>
        <w:t>.1</w:t>
      </w:r>
      <w:r w:rsidR="00107DEC" w:rsidRPr="003E09FE">
        <w:rPr>
          <w:rFonts w:ascii="Arial" w:hAnsi="Arial" w:cs="Arial"/>
          <w:b/>
          <w:color w:val="000000"/>
          <w:sz w:val="16"/>
          <w:szCs w:val="16"/>
        </w:rPr>
        <w:t>0</w:t>
      </w:r>
      <w:r w:rsidR="004541E8" w:rsidRPr="003E09FE">
        <w:rPr>
          <w:rFonts w:ascii="Arial" w:hAnsi="Arial" w:cs="Arial"/>
          <w:b/>
          <w:color w:val="000000"/>
          <w:sz w:val="16"/>
          <w:szCs w:val="16"/>
        </w:rPr>
        <w:t>.</w:t>
      </w:r>
      <w:r w:rsidR="004541E8" w:rsidRPr="003E09FE">
        <w:rPr>
          <w:rFonts w:ascii="Arial" w:hAnsi="Arial" w:cs="Arial"/>
          <w:color w:val="000000"/>
          <w:sz w:val="16"/>
          <w:szCs w:val="16"/>
        </w:rPr>
        <w:t xml:space="preserve"> </w:t>
      </w:r>
      <w:r w:rsidR="00107DEC" w:rsidRPr="003E09FE">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durante a execução do objeto.</w:t>
      </w:r>
    </w:p>
    <w:p w:rsidR="00745602" w:rsidRPr="003E09FE" w:rsidRDefault="00745602" w:rsidP="0068055E">
      <w:pPr>
        <w:pStyle w:val="PargrafodaLista1"/>
        <w:ind w:left="0"/>
        <w:jc w:val="both"/>
        <w:rPr>
          <w:rFonts w:ascii="Arial" w:hAnsi="Arial" w:cs="Arial"/>
          <w:color w:val="000000"/>
          <w:sz w:val="16"/>
          <w:szCs w:val="16"/>
        </w:rPr>
      </w:pPr>
    </w:p>
    <w:tbl>
      <w:tblPr>
        <w:tblW w:w="9967"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53"/>
        <w:gridCol w:w="6521"/>
        <w:gridCol w:w="1134"/>
        <w:gridCol w:w="1559"/>
      </w:tblGrid>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Style w:val="Forte"/>
                <w:rFonts w:ascii="Arial" w:eastAsiaTheme="majorEastAsia" w:hAnsi="Arial" w:cs="Arial"/>
                <w:color w:val="000000"/>
                <w:sz w:val="16"/>
                <w:szCs w:val="16"/>
              </w:rPr>
              <w:t>ITEM</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Style w:val="Forte"/>
                <w:rFonts w:ascii="Arial" w:eastAsiaTheme="majorEastAsia" w:hAnsi="Arial" w:cs="Arial"/>
                <w:color w:val="000000"/>
                <w:sz w:val="16"/>
                <w:szCs w:val="16"/>
              </w:rPr>
              <w:t>DESCRIÇÃO DA INFRAÇÃO</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Style w:val="Forte"/>
                <w:rFonts w:ascii="Arial" w:eastAsiaTheme="majorEastAsia" w:hAnsi="Arial" w:cs="Arial"/>
                <w:color w:val="000000"/>
                <w:sz w:val="16"/>
                <w:szCs w:val="16"/>
              </w:rPr>
              <w:t>GRAU</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Style w:val="Forte"/>
                <w:rFonts w:ascii="Arial" w:eastAsiaTheme="majorEastAsia" w:hAnsi="Arial" w:cs="Arial"/>
                <w:color w:val="000000"/>
                <w:sz w:val="16"/>
                <w:szCs w:val="16"/>
              </w:rPr>
              <w:t>MULTA*</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01</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Permitir situação que crie a possibilidade ou cause dano físico, lesão corporal ou consequências letais;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06</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4,00%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Fazer uso indevido de informações sigilosas a que teve acesso;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06</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4,00%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03</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Suspender ou interromper, salvo por motivo de força maior ou caso fortuito, os serviços contratuais; </w:t>
            </w:r>
            <w:r w:rsidRPr="003E09FE">
              <w:rPr>
                <w:rStyle w:val="nfase"/>
                <w:rFonts w:ascii="Arial" w:eastAsiaTheme="minorEastAsia" w:hAnsi="Arial" w:cs="Arial"/>
                <w:b/>
                <w:bCs/>
                <w:color w:val="000000"/>
                <w:sz w:val="16"/>
                <w:szCs w:val="16"/>
                <w:u w:val="single"/>
              </w:rPr>
              <w:t>por dia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05</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3,20%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Destruir ou danificar documentos por culpa ou dolo de seus agentes;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05</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3,20%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05</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Permitir o atraso na prestação de informações e esclarecimentos solicitados pela Contratante, até o limite de 24 (vinte e quatro) horas de atraso. </w:t>
            </w:r>
            <w:r w:rsidRPr="003E09FE">
              <w:rPr>
                <w:rStyle w:val="nfase"/>
                <w:rFonts w:ascii="Arial" w:eastAsiaTheme="minorEastAsia" w:hAnsi="Arial" w:cs="Arial"/>
                <w:b/>
                <w:bCs/>
                <w:color w:val="000000"/>
                <w:sz w:val="16"/>
                <w:szCs w:val="16"/>
                <w:u w:val="single"/>
              </w:rPr>
              <w:t>Sobre o valor da parcela inadimplida do contrato</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05</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3,20%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06</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Recusar-se a executar serviço determinado pela FISCALIZAÇÃO, sem motivo justificado;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1,60%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07</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Executar serviço incompleto, paliativo substitutivo como por caráter permanente, ou deixar de providenciar recomposição complementar;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08</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Fornecer informação pérfida de serviço ou substituição de material;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0,40%</w:t>
            </w:r>
          </w:p>
        </w:tc>
      </w:tr>
      <w:tr w:rsidR="004771EA"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09</w:t>
            </w:r>
          </w:p>
        </w:tc>
        <w:tc>
          <w:tcPr>
            <w:tcW w:w="6507"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alinhadoesquerda"/>
              <w:spacing w:after="0"/>
              <w:rPr>
                <w:rFonts w:ascii="Arial" w:hAnsi="Arial" w:cs="Arial"/>
                <w:color w:val="000000"/>
                <w:sz w:val="16"/>
                <w:szCs w:val="16"/>
              </w:rPr>
            </w:pPr>
            <w:r w:rsidRPr="003E09FE">
              <w:rPr>
                <w:rFonts w:ascii="Arial" w:hAnsi="Arial" w:cs="Arial"/>
                <w:color w:val="000000"/>
                <w:sz w:val="16"/>
                <w:szCs w:val="16"/>
              </w:rPr>
              <w:t>Efetuar cobrança por serviços não prestados, ou em desacordo com os valores estabelecidos no contrato;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hideMark/>
          </w:tcPr>
          <w:p w:rsidR="004771EA" w:rsidRPr="003E09FE" w:rsidRDefault="004771EA" w:rsidP="004771EA">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0,40%</w:t>
            </w:r>
          </w:p>
        </w:tc>
      </w:tr>
      <w:tr w:rsidR="003E09FE" w:rsidRPr="003E09FE" w:rsidTr="001F7610">
        <w:trPr>
          <w:trHeight w:val="259"/>
          <w:tblCellSpacing w:w="7" w:type="dxa"/>
        </w:trPr>
        <w:tc>
          <w:tcPr>
            <w:tcW w:w="9939" w:type="dxa"/>
            <w:gridSpan w:val="4"/>
            <w:tcBorders>
              <w:top w:val="outset" w:sz="6" w:space="0" w:color="auto"/>
              <w:left w:val="outset" w:sz="6" w:space="0" w:color="auto"/>
              <w:bottom w:val="outset" w:sz="6" w:space="0" w:color="auto"/>
              <w:right w:val="outset" w:sz="6" w:space="0" w:color="auto"/>
            </w:tcBorders>
            <w:hideMark/>
          </w:tcPr>
          <w:p w:rsidR="003E09FE" w:rsidRPr="003E09FE" w:rsidRDefault="003E09FE" w:rsidP="004771EA">
            <w:pPr>
              <w:pStyle w:val="tabelatextocentralizado"/>
              <w:spacing w:after="0"/>
              <w:jc w:val="center"/>
              <w:rPr>
                <w:rFonts w:ascii="Arial" w:hAnsi="Arial" w:cs="Arial"/>
                <w:color w:val="000000"/>
                <w:sz w:val="16"/>
                <w:szCs w:val="16"/>
              </w:rPr>
            </w:pPr>
            <w:r w:rsidRPr="003E09FE">
              <w:rPr>
                <w:rStyle w:val="Forte"/>
                <w:rFonts w:ascii="Arial" w:eastAsiaTheme="majorEastAsia" w:hAnsi="Arial" w:cs="Arial"/>
                <w:color w:val="000000"/>
                <w:sz w:val="16"/>
                <w:szCs w:val="16"/>
              </w:rPr>
              <w:t>PARA OS ITENS A SEGUIR, DEIXAR DE:</w:t>
            </w:r>
          </w:p>
        </w:tc>
      </w:tr>
      <w:tr w:rsidR="003E09FE"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10</w:t>
            </w:r>
          </w:p>
        </w:tc>
        <w:tc>
          <w:tcPr>
            <w:tcW w:w="6507"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alinhadoesquerda"/>
              <w:spacing w:before="0" w:beforeAutospacing="0" w:after="0" w:afterAutospacing="0"/>
              <w:ind w:left="60" w:right="60"/>
              <w:rPr>
                <w:rFonts w:ascii="Arial" w:hAnsi="Arial" w:cs="Arial"/>
                <w:color w:val="000000"/>
                <w:sz w:val="16"/>
                <w:szCs w:val="16"/>
              </w:rPr>
            </w:pPr>
            <w:r w:rsidRPr="003E09FE">
              <w:rPr>
                <w:rFonts w:ascii="Arial" w:hAnsi="Arial" w:cs="Arial"/>
                <w:color w:val="000000"/>
                <w:sz w:val="16"/>
                <w:szCs w:val="16"/>
              </w:rPr>
              <w:t>Efetuar o pagamento de seguros, encargos fiscais e sociais, assim como quaisquer despesas diretas e/ou indiretas relacionadas à execução do contrato; </w:t>
            </w:r>
            <w:r w:rsidRPr="003E09FE">
              <w:rPr>
                <w:rStyle w:val="nfase"/>
                <w:rFonts w:ascii="Arial" w:eastAsiaTheme="minorEastAsia" w:hAnsi="Arial" w:cs="Arial"/>
                <w:b/>
                <w:bCs/>
                <w:color w:val="000000"/>
                <w:sz w:val="16"/>
                <w:szCs w:val="16"/>
                <w:u w:val="single"/>
              </w:rPr>
              <w:t>por dia</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05</w:t>
            </w:r>
          </w:p>
        </w:tc>
        <w:tc>
          <w:tcPr>
            <w:tcW w:w="1538"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3,20%</w:t>
            </w:r>
          </w:p>
        </w:tc>
      </w:tr>
      <w:tr w:rsidR="003E09FE"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11</w:t>
            </w:r>
          </w:p>
        </w:tc>
        <w:tc>
          <w:tcPr>
            <w:tcW w:w="6507"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alinhadoesquerda"/>
              <w:spacing w:before="0" w:beforeAutospacing="0" w:after="0" w:afterAutospacing="0"/>
              <w:ind w:left="60" w:right="60"/>
              <w:rPr>
                <w:rFonts w:ascii="Arial" w:hAnsi="Arial" w:cs="Arial"/>
                <w:color w:val="000000"/>
                <w:sz w:val="16"/>
                <w:szCs w:val="16"/>
              </w:rPr>
            </w:pPr>
            <w:r w:rsidRPr="003E09FE">
              <w:rPr>
                <w:rFonts w:ascii="Arial" w:hAnsi="Arial" w:cs="Arial"/>
                <w:color w:val="000000"/>
                <w:sz w:val="16"/>
                <w:szCs w:val="16"/>
              </w:rPr>
              <w:t>Efetuar a restauração do sistema e reposição de equipamentos danificados; </w:t>
            </w:r>
            <w:r w:rsidRPr="003E09FE">
              <w:rPr>
                <w:rStyle w:val="nfase"/>
                <w:rFonts w:ascii="Arial" w:eastAsiaTheme="minorEastAsia" w:hAnsi="Arial" w:cs="Arial"/>
                <w:b/>
                <w:bCs/>
                <w:color w:val="000000"/>
                <w:sz w:val="16"/>
                <w:szCs w:val="16"/>
                <w:u w:val="single"/>
              </w:rPr>
              <w:t>por motivo</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dia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04</w:t>
            </w:r>
          </w:p>
        </w:tc>
        <w:tc>
          <w:tcPr>
            <w:tcW w:w="1538"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1,60%</w:t>
            </w:r>
          </w:p>
        </w:tc>
      </w:tr>
      <w:tr w:rsidR="003E09FE"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12</w:t>
            </w:r>
          </w:p>
        </w:tc>
        <w:tc>
          <w:tcPr>
            <w:tcW w:w="6507"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alinhadoesquerda"/>
              <w:spacing w:before="0" w:beforeAutospacing="0" w:after="0" w:afterAutospacing="0"/>
              <w:ind w:left="60" w:right="60"/>
              <w:rPr>
                <w:rFonts w:ascii="Arial" w:hAnsi="Arial" w:cs="Arial"/>
                <w:color w:val="000000"/>
                <w:sz w:val="16"/>
                <w:szCs w:val="16"/>
              </w:rPr>
            </w:pPr>
            <w:r w:rsidRPr="003E09FE">
              <w:rPr>
                <w:rFonts w:ascii="Arial" w:hAnsi="Arial" w:cs="Arial"/>
                <w:color w:val="000000"/>
                <w:sz w:val="16"/>
                <w:szCs w:val="16"/>
              </w:rPr>
              <w:t>Cumprir quaisquer dos itens do Projeto Básico e seus anexos, mesmo que não previstos nesta tabela de multas, após reincidência formalmente notificada pela FISCALIZAÇÃO;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03</w:t>
            </w:r>
          </w:p>
        </w:tc>
        <w:tc>
          <w:tcPr>
            <w:tcW w:w="1538"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0,80%</w:t>
            </w:r>
          </w:p>
        </w:tc>
      </w:tr>
      <w:tr w:rsidR="003E09FE"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13</w:t>
            </w:r>
          </w:p>
        </w:tc>
        <w:tc>
          <w:tcPr>
            <w:tcW w:w="6507"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alinhadoesquerda"/>
              <w:spacing w:before="0" w:beforeAutospacing="0" w:after="0" w:afterAutospacing="0"/>
              <w:ind w:left="60" w:right="60"/>
              <w:rPr>
                <w:rFonts w:ascii="Arial" w:hAnsi="Arial" w:cs="Arial"/>
                <w:color w:val="000000"/>
                <w:sz w:val="16"/>
                <w:szCs w:val="16"/>
              </w:rPr>
            </w:pPr>
            <w:r w:rsidRPr="003E09FE">
              <w:rPr>
                <w:rFonts w:ascii="Arial" w:hAnsi="Arial" w:cs="Arial"/>
                <w:color w:val="000000"/>
                <w:sz w:val="16"/>
                <w:szCs w:val="16"/>
              </w:rPr>
              <w:t>Cumprir determinação formal ou instrução complementar da FISCALIZAÇÃO do contrato;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03</w:t>
            </w:r>
          </w:p>
        </w:tc>
        <w:tc>
          <w:tcPr>
            <w:tcW w:w="1538"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0,80%</w:t>
            </w:r>
          </w:p>
        </w:tc>
      </w:tr>
      <w:tr w:rsidR="003E09FE" w:rsidRPr="003E09FE" w:rsidTr="001F7610">
        <w:trPr>
          <w:tblCellSpacing w:w="7" w:type="dxa"/>
        </w:trPr>
        <w:tc>
          <w:tcPr>
            <w:tcW w:w="732"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14</w:t>
            </w:r>
          </w:p>
        </w:tc>
        <w:tc>
          <w:tcPr>
            <w:tcW w:w="6507"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alinhadoesquerda"/>
              <w:spacing w:before="0" w:beforeAutospacing="0" w:after="0" w:afterAutospacing="0"/>
              <w:ind w:left="60" w:right="60"/>
              <w:rPr>
                <w:rFonts w:ascii="Arial" w:hAnsi="Arial" w:cs="Arial"/>
                <w:color w:val="000000"/>
                <w:sz w:val="16"/>
                <w:szCs w:val="16"/>
              </w:rPr>
            </w:pPr>
            <w:r w:rsidRPr="003E09FE">
              <w:rPr>
                <w:rFonts w:ascii="Arial" w:hAnsi="Arial" w:cs="Arial"/>
                <w:color w:val="000000"/>
                <w:sz w:val="16"/>
                <w:szCs w:val="16"/>
              </w:rPr>
              <w:t>Iniciar execução de serviço nos prazos estabelecidos pela FISCALIZAÇÃO, observados os limites mínimos estabelecidos por este Contrato; </w:t>
            </w:r>
            <w:r w:rsidRPr="003E09FE">
              <w:rPr>
                <w:rStyle w:val="nfase"/>
                <w:rFonts w:ascii="Arial" w:eastAsiaTheme="minorEastAsia" w:hAnsi="Arial" w:cs="Arial"/>
                <w:b/>
                <w:bCs/>
                <w:color w:val="000000"/>
                <w:sz w:val="16"/>
                <w:szCs w:val="16"/>
                <w:u w:val="single"/>
              </w:rPr>
              <w:t>por serviço</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vAlign w:val="center"/>
            <w:hideMark/>
          </w:tcPr>
          <w:p w:rsidR="003E09FE" w:rsidRPr="003E09FE" w:rsidRDefault="003E09FE">
            <w:pPr>
              <w:pStyle w:val="tabelatextocentralizado"/>
              <w:spacing w:before="0" w:beforeAutospacing="0" w:after="0" w:afterAutospacing="0"/>
              <w:ind w:left="60" w:right="60"/>
              <w:jc w:val="center"/>
              <w:rPr>
                <w:rFonts w:ascii="Arial" w:hAnsi="Arial" w:cs="Arial"/>
                <w:color w:val="000000"/>
                <w:sz w:val="16"/>
                <w:szCs w:val="16"/>
              </w:rPr>
            </w:pPr>
            <w:r w:rsidRPr="003E09FE">
              <w:rPr>
                <w:rFonts w:ascii="Arial" w:hAnsi="Arial" w:cs="Arial"/>
                <w:color w:val="000000"/>
                <w:sz w:val="16"/>
                <w:szCs w:val="16"/>
              </w:rPr>
              <w:t>0,40%</w:t>
            </w:r>
          </w:p>
        </w:tc>
      </w:tr>
      <w:tr w:rsidR="003E09FE" w:rsidRPr="003E09FE" w:rsidTr="001F7610">
        <w:trPr>
          <w:trHeight w:val="446"/>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15</w:t>
            </w:r>
          </w:p>
        </w:tc>
        <w:tc>
          <w:tcPr>
            <w:tcW w:w="6507"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alinhadoesquerda"/>
              <w:spacing w:after="0"/>
              <w:rPr>
                <w:rFonts w:ascii="Arial" w:hAnsi="Arial" w:cs="Arial"/>
                <w:color w:val="000000"/>
                <w:sz w:val="16"/>
                <w:szCs w:val="16"/>
              </w:rPr>
            </w:pPr>
            <w:r w:rsidRPr="003E09FE">
              <w:rPr>
                <w:rFonts w:ascii="Arial" w:hAnsi="Arial" w:cs="Arial"/>
                <w:color w:val="000000"/>
                <w:sz w:val="16"/>
                <w:szCs w:val="16"/>
              </w:rPr>
              <w:t>Ressarcir o órgão por eventuais danos causados por seus funcionários, em Veículos, equipamentos etc.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0,40%</w:t>
            </w:r>
          </w:p>
        </w:tc>
      </w:tr>
      <w:tr w:rsidR="003E09FE" w:rsidRPr="003E09FE" w:rsidTr="001F7610">
        <w:trPr>
          <w:trHeight w:val="199"/>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16</w:t>
            </w:r>
          </w:p>
        </w:tc>
        <w:tc>
          <w:tcPr>
            <w:tcW w:w="6507"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alinhadoesquerda"/>
              <w:spacing w:after="0"/>
              <w:rPr>
                <w:rFonts w:ascii="Arial" w:hAnsi="Arial" w:cs="Arial"/>
                <w:color w:val="000000"/>
                <w:sz w:val="16"/>
                <w:szCs w:val="16"/>
              </w:rPr>
            </w:pPr>
            <w:r w:rsidRPr="003E09FE">
              <w:rPr>
                <w:rFonts w:ascii="Arial" w:hAnsi="Arial" w:cs="Arial"/>
                <w:color w:val="000000"/>
                <w:sz w:val="16"/>
                <w:szCs w:val="16"/>
              </w:rPr>
              <w:t>Fornecer as senhas e relatórios exigidos para o objeto; </w:t>
            </w:r>
            <w:r w:rsidRPr="003E09FE">
              <w:rPr>
                <w:rStyle w:val="nfase"/>
                <w:rFonts w:ascii="Arial" w:eastAsiaTheme="minorEastAsia" w:hAnsi="Arial" w:cs="Arial"/>
                <w:b/>
                <w:bCs/>
                <w:color w:val="000000"/>
                <w:sz w:val="16"/>
                <w:szCs w:val="16"/>
                <w:u w:val="single"/>
              </w:rPr>
              <w:t>por tipo</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w:t>
            </w:r>
          </w:p>
        </w:tc>
        <w:tc>
          <w:tcPr>
            <w:tcW w:w="1538"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0,40%</w:t>
            </w:r>
          </w:p>
        </w:tc>
      </w:tr>
      <w:tr w:rsidR="003E09FE" w:rsidRPr="003E09FE" w:rsidTr="001F7610">
        <w:trPr>
          <w:trHeight w:val="216"/>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17</w:t>
            </w:r>
          </w:p>
        </w:tc>
        <w:tc>
          <w:tcPr>
            <w:tcW w:w="6507"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alinhadoesquerda"/>
              <w:spacing w:after="0"/>
              <w:rPr>
                <w:rFonts w:ascii="Arial" w:hAnsi="Arial" w:cs="Arial"/>
                <w:color w:val="000000"/>
                <w:sz w:val="16"/>
                <w:szCs w:val="16"/>
              </w:rPr>
            </w:pPr>
            <w:r w:rsidRPr="003E09FE">
              <w:rPr>
                <w:rFonts w:ascii="Arial" w:hAnsi="Arial" w:cs="Arial"/>
                <w:color w:val="000000"/>
                <w:sz w:val="16"/>
                <w:szCs w:val="16"/>
              </w:rPr>
              <w:t>Manter a documentação de habilitação atualizada; </w:t>
            </w:r>
            <w:r w:rsidRPr="003E09FE">
              <w:rPr>
                <w:rStyle w:val="nfase"/>
                <w:rFonts w:ascii="Arial" w:eastAsiaTheme="minorEastAsia" w:hAnsi="Arial" w:cs="Arial"/>
                <w:b/>
                <w:bCs/>
                <w:color w:val="000000"/>
                <w:sz w:val="16"/>
                <w:szCs w:val="16"/>
                <w:u w:val="single"/>
              </w:rPr>
              <w:t>por item</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01</w:t>
            </w:r>
          </w:p>
        </w:tc>
        <w:tc>
          <w:tcPr>
            <w:tcW w:w="1538"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0,20%</w:t>
            </w:r>
          </w:p>
        </w:tc>
      </w:tr>
      <w:tr w:rsidR="003E09FE" w:rsidRPr="003E09FE" w:rsidTr="001F7610">
        <w:trPr>
          <w:trHeight w:val="221"/>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18</w:t>
            </w:r>
          </w:p>
        </w:tc>
        <w:tc>
          <w:tcPr>
            <w:tcW w:w="6507"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alinhadoesquerda"/>
              <w:spacing w:after="0"/>
              <w:rPr>
                <w:rFonts w:ascii="Arial" w:hAnsi="Arial" w:cs="Arial"/>
                <w:color w:val="000000"/>
                <w:sz w:val="16"/>
                <w:szCs w:val="16"/>
              </w:rPr>
            </w:pPr>
            <w:r w:rsidRPr="003E09FE">
              <w:rPr>
                <w:rFonts w:ascii="Arial" w:hAnsi="Arial" w:cs="Arial"/>
                <w:color w:val="000000"/>
                <w:sz w:val="16"/>
                <w:szCs w:val="16"/>
              </w:rPr>
              <w:t>Substituir funcionário que se conduza de modo inconveniente ou não atenda às necessidades do Órgão; </w:t>
            </w:r>
            <w:r w:rsidRPr="003E09FE">
              <w:rPr>
                <w:rStyle w:val="nfase"/>
                <w:rFonts w:ascii="Arial" w:eastAsiaTheme="minorEastAsia" w:hAnsi="Arial" w:cs="Arial"/>
                <w:b/>
                <w:bCs/>
                <w:color w:val="000000"/>
                <w:sz w:val="16"/>
                <w:szCs w:val="16"/>
                <w:u w:val="single"/>
              </w:rPr>
              <w:t>por funcionário</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dia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01</w:t>
            </w:r>
          </w:p>
        </w:tc>
        <w:tc>
          <w:tcPr>
            <w:tcW w:w="1538"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0,20%</w:t>
            </w:r>
          </w:p>
        </w:tc>
      </w:tr>
      <w:tr w:rsidR="003E09FE" w:rsidRPr="003E09FE" w:rsidTr="001F7610">
        <w:trPr>
          <w:trHeight w:val="196"/>
          <w:tblCellSpacing w:w="7" w:type="dxa"/>
        </w:trPr>
        <w:tc>
          <w:tcPr>
            <w:tcW w:w="732"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19</w:t>
            </w:r>
          </w:p>
        </w:tc>
        <w:tc>
          <w:tcPr>
            <w:tcW w:w="6507"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alinhadoesquerda"/>
              <w:spacing w:after="0"/>
              <w:rPr>
                <w:rFonts w:ascii="Arial" w:hAnsi="Arial" w:cs="Arial"/>
                <w:color w:val="000000"/>
                <w:sz w:val="16"/>
                <w:szCs w:val="16"/>
              </w:rPr>
            </w:pPr>
            <w:r w:rsidRPr="003E09FE">
              <w:rPr>
                <w:rFonts w:ascii="Arial" w:hAnsi="Arial" w:cs="Arial"/>
                <w:color w:val="000000"/>
                <w:sz w:val="16"/>
                <w:szCs w:val="16"/>
              </w:rPr>
              <w:t>Fornecer suporte técnico à Contratante; </w:t>
            </w:r>
            <w:r w:rsidRPr="003E09FE">
              <w:rPr>
                <w:rStyle w:val="nfase"/>
                <w:rFonts w:ascii="Arial" w:eastAsiaTheme="minorEastAsia" w:hAnsi="Arial" w:cs="Arial"/>
                <w:b/>
                <w:bCs/>
                <w:color w:val="000000"/>
                <w:sz w:val="16"/>
                <w:szCs w:val="16"/>
                <w:u w:val="single"/>
              </w:rPr>
              <w:t>por ocorrência</w:t>
            </w:r>
            <w:r w:rsidRPr="003E09FE">
              <w:rPr>
                <w:rFonts w:ascii="Arial" w:hAnsi="Arial" w:cs="Arial"/>
                <w:color w:val="000000"/>
                <w:sz w:val="16"/>
                <w:szCs w:val="16"/>
              </w:rPr>
              <w:t>; e </w:t>
            </w:r>
            <w:r w:rsidRPr="003E09FE">
              <w:rPr>
                <w:rStyle w:val="nfase"/>
                <w:rFonts w:ascii="Arial" w:eastAsiaTheme="minorEastAsia" w:hAnsi="Arial" w:cs="Arial"/>
                <w:b/>
                <w:bCs/>
                <w:color w:val="000000"/>
                <w:sz w:val="16"/>
                <w:szCs w:val="16"/>
                <w:u w:val="single"/>
              </w:rPr>
              <w:t>por dia</w:t>
            </w:r>
            <w:r w:rsidRPr="003E09FE">
              <w:rPr>
                <w:rFonts w:ascii="Arial" w:hAnsi="Arial" w:cs="Arial"/>
                <w:color w:val="000000"/>
                <w:sz w:val="16"/>
                <w:szCs w:val="16"/>
              </w:rPr>
              <w:t>.</w:t>
            </w:r>
          </w:p>
        </w:tc>
        <w:tc>
          <w:tcPr>
            <w:tcW w:w="1120"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01</w:t>
            </w:r>
          </w:p>
        </w:tc>
        <w:tc>
          <w:tcPr>
            <w:tcW w:w="1538" w:type="dxa"/>
            <w:tcBorders>
              <w:top w:val="outset" w:sz="6" w:space="0" w:color="auto"/>
              <w:left w:val="outset" w:sz="6" w:space="0" w:color="auto"/>
              <w:bottom w:val="outset" w:sz="6" w:space="0" w:color="auto"/>
              <w:right w:val="outset" w:sz="6" w:space="0" w:color="auto"/>
            </w:tcBorders>
            <w:hideMark/>
          </w:tcPr>
          <w:p w:rsidR="003E09FE" w:rsidRPr="003E09FE" w:rsidRDefault="003E09FE" w:rsidP="0079791B">
            <w:pPr>
              <w:pStyle w:val="tabelatextocentralizado"/>
              <w:spacing w:after="0"/>
              <w:jc w:val="center"/>
              <w:rPr>
                <w:rFonts w:ascii="Arial" w:hAnsi="Arial" w:cs="Arial"/>
                <w:color w:val="000000"/>
                <w:sz w:val="16"/>
                <w:szCs w:val="16"/>
              </w:rPr>
            </w:pPr>
            <w:r w:rsidRPr="003E09FE">
              <w:rPr>
                <w:rFonts w:ascii="Arial" w:hAnsi="Arial" w:cs="Arial"/>
                <w:color w:val="000000"/>
                <w:sz w:val="16"/>
                <w:szCs w:val="16"/>
              </w:rPr>
              <w:t>0,20%</w:t>
            </w:r>
          </w:p>
        </w:tc>
      </w:tr>
    </w:tbl>
    <w:p w:rsidR="003E09FE" w:rsidRPr="003E09FE" w:rsidRDefault="003E09FE" w:rsidP="0068055E">
      <w:pPr>
        <w:pStyle w:val="PargrafodaLista1"/>
        <w:ind w:left="0"/>
        <w:jc w:val="both"/>
        <w:rPr>
          <w:rFonts w:ascii="Arial" w:hAnsi="Arial" w:cs="Arial"/>
          <w:b/>
          <w:color w:val="000000"/>
          <w:sz w:val="16"/>
          <w:szCs w:val="16"/>
        </w:rPr>
      </w:pPr>
      <w:r w:rsidRPr="003E09FE">
        <w:rPr>
          <w:rFonts w:ascii="Arial" w:hAnsi="Arial" w:cs="Arial"/>
          <w:b/>
          <w:color w:val="000000"/>
          <w:sz w:val="16"/>
          <w:szCs w:val="16"/>
        </w:rPr>
        <w:t xml:space="preserve">9.11. </w:t>
      </w:r>
      <w:r w:rsidRPr="003E09FE">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45602"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.12.</w:t>
      </w:r>
      <w:r w:rsidR="00745602" w:rsidRPr="003E09FE">
        <w:rPr>
          <w:rFonts w:ascii="Arial" w:hAnsi="Arial" w:cs="Arial"/>
          <w:color w:val="000000"/>
          <w:sz w:val="16"/>
          <w:szCs w:val="16"/>
        </w:rPr>
        <w:t xml:space="preserve"> </w:t>
      </w:r>
      <w:r w:rsidR="003E09FE" w:rsidRPr="003E09FE">
        <w:rPr>
          <w:rFonts w:ascii="Arial" w:hAnsi="Arial" w:cs="Arial"/>
          <w:color w:val="000000"/>
          <w:sz w:val="16"/>
          <w:szCs w:val="16"/>
        </w:rPr>
        <w:t>Após 30 (trinta) dias da falta de execução do objeto, será considerada inexecução total do contrato, o que ensejará a rescisão contratual.</w:t>
      </w:r>
    </w:p>
    <w:p w:rsidR="0068055E"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.13.</w:t>
      </w:r>
      <w:r w:rsidR="00745602" w:rsidRPr="003E09FE">
        <w:rPr>
          <w:rFonts w:ascii="Arial" w:hAnsi="Arial" w:cs="Arial"/>
          <w:color w:val="000000"/>
          <w:sz w:val="16"/>
          <w:szCs w:val="16"/>
        </w:rPr>
        <w:t xml:space="preserve"> </w:t>
      </w:r>
      <w:r w:rsidR="003E09FE" w:rsidRPr="003E09FE">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8055E"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.14.</w:t>
      </w:r>
      <w:r w:rsidR="00745602" w:rsidRPr="003E09FE">
        <w:rPr>
          <w:rFonts w:ascii="Arial" w:hAnsi="Arial" w:cs="Arial"/>
          <w:color w:val="000000"/>
          <w:sz w:val="16"/>
          <w:szCs w:val="16"/>
        </w:rPr>
        <w:t xml:space="preserve"> </w:t>
      </w:r>
      <w:r w:rsidR="003E09FE" w:rsidRPr="003E09FE">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8055E" w:rsidRPr="003E09FE" w:rsidRDefault="0068055E" w:rsidP="0068055E">
      <w:pPr>
        <w:pStyle w:val="PargrafodaLista1"/>
        <w:ind w:left="0"/>
        <w:jc w:val="both"/>
        <w:rPr>
          <w:rFonts w:ascii="Arial" w:hAnsi="Arial" w:cs="Arial"/>
          <w:color w:val="000000"/>
          <w:sz w:val="16"/>
          <w:szCs w:val="16"/>
        </w:rPr>
      </w:pPr>
      <w:r w:rsidRPr="003E09FE">
        <w:rPr>
          <w:rFonts w:ascii="Arial" w:hAnsi="Arial" w:cs="Arial"/>
          <w:b/>
          <w:color w:val="000000"/>
          <w:sz w:val="16"/>
          <w:szCs w:val="16"/>
        </w:rPr>
        <w:lastRenderedPageBreak/>
        <w:t>9</w:t>
      </w:r>
      <w:r w:rsidR="00745602" w:rsidRPr="003E09FE">
        <w:rPr>
          <w:rFonts w:ascii="Arial" w:hAnsi="Arial" w:cs="Arial"/>
          <w:b/>
          <w:color w:val="000000"/>
          <w:sz w:val="16"/>
          <w:szCs w:val="16"/>
        </w:rPr>
        <w:t>.15.</w:t>
      </w:r>
      <w:r w:rsidR="003E09FE" w:rsidRPr="003E09FE">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E09FE" w:rsidRPr="003E09FE" w:rsidRDefault="003E09FE" w:rsidP="003E09FE">
      <w:pPr>
        <w:pStyle w:val="itemincisoromano"/>
        <w:spacing w:before="120" w:beforeAutospacing="0" w:after="120" w:afterAutospacing="0"/>
        <w:ind w:right="120"/>
        <w:jc w:val="both"/>
        <w:rPr>
          <w:rFonts w:ascii="Arial" w:hAnsi="Arial" w:cs="Arial"/>
          <w:color w:val="000000"/>
          <w:sz w:val="16"/>
          <w:szCs w:val="16"/>
        </w:rPr>
      </w:pPr>
      <w:r w:rsidRPr="003E09FE">
        <w:rPr>
          <w:rFonts w:ascii="Arial" w:hAnsi="Arial" w:cs="Arial"/>
          <w:color w:val="000000"/>
          <w:sz w:val="16"/>
          <w:szCs w:val="16"/>
        </w:rPr>
        <w:t>I - Tenham sofrido condenações definitivas por praticarem, por meio dolosos, fraude fiscal no recolhimento de tributos;</w:t>
      </w:r>
    </w:p>
    <w:p w:rsidR="003E09FE" w:rsidRPr="003E09FE" w:rsidRDefault="003E09FE" w:rsidP="003E09FE">
      <w:pPr>
        <w:pStyle w:val="itemincisoromano"/>
        <w:spacing w:before="120" w:beforeAutospacing="0" w:after="120" w:afterAutospacing="0"/>
        <w:ind w:right="120"/>
        <w:jc w:val="both"/>
        <w:rPr>
          <w:rFonts w:ascii="Arial" w:hAnsi="Arial" w:cs="Arial"/>
          <w:color w:val="000000"/>
          <w:sz w:val="16"/>
          <w:szCs w:val="16"/>
        </w:rPr>
      </w:pPr>
      <w:r w:rsidRPr="003E09FE">
        <w:rPr>
          <w:rFonts w:ascii="Arial" w:hAnsi="Arial" w:cs="Arial"/>
          <w:color w:val="000000"/>
          <w:sz w:val="16"/>
          <w:szCs w:val="16"/>
        </w:rPr>
        <w:t>II - Tenham praticado atos ilícitos visando a frustrar os objetivos da licitação;</w:t>
      </w:r>
    </w:p>
    <w:p w:rsidR="003E09FE" w:rsidRPr="003E09FE" w:rsidRDefault="003E09FE" w:rsidP="003E09FE">
      <w:pPr>
        <w:pStyle w:val="itemincisoromano"/>
        <w:spacing w:before="120" w:beforeAutospacing="0" w:after="120" w:afterAutospacing="0"/>
        <w:ind w:right="120"/>
        <w:jc w:val="both"/>
        <w:rPr>
          <w:rFonts w:ascii="Arial" w:hAnsi="Arial" w:cs="Arial"/>
          <w:color w:val="000000"/>
          <w:sz w:val="16"/>
          <w:szCs w:val="16"/>
        </w:rPr>
      </w:pPr>
      <w:r w:rsidRPr="003E09FE">
        <w:rPr>
          <w:rFonts w:ascii="Arial" w:hAnsi="Arial" w:cs="Arial"/>
          <w:color w:val="000000"/>
          <w:sz w:val="16"/>
          <w:szCs w:val="16"/>
        </w:rPr>
        <w:t>III - Demonstrem não possuir idoneidade para contratar com a Administração em virtude de atos ilícitos praticados.</w:t>
      </w:r>
    </w:p>
    <w:p w:rsidR="003E09FE" w:rsidRPr="003E09FE" w:rsidRDefault="0068055E" w:rsidP="003E09F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.16.</w:t>
      </w:r>
      <w:r w:rsidR="00745602" w:rsidRPr="003E09FE">
        <w:rPr>
          <w:rFonts w:ascii="Arial" w:hAnsi="Arial" w:cs="Arial"/>
          <w:color w:val="000000"/>
          <w:sz w:val="16"/>
          <w:szCs w:val="16"/>
        </w:rPr>
        <w:t xml:space="preserve"> </w:t>
      </w:r>
      <w:r w:rsidR="003E09FE" w:rsidRPr="003E09FE">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8055E" w:rsidRPr="003E09FE" w:rsidRDefault="0068055E" w:rsidP="003E09F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.17</w:t>
      </w:r>
      <w:r w:rsidR="00745602" w:rsidRPr="003E09FE">
        <w:rPr>
          <w:rFonts w:ascii="Arial" w:hAnsi="Arial" w:cs="Arial"/>
          <w:color w:val="000000"/>
          <w:sz w:val="16"/>
          <w:szCs w:val="16"/>
        </w:rPr>
        <w:t>.</w:t>
      </w:r>
      <w:r w:rsidR="003E09FE" w:rsidRPr="003E09FE">
        <w:rPr>
          <w:rFonts w:ascii="Arial" w:hAnsi="Arial" w:cs="Arial"/>
          <w:color w:val="000000"/>
          <w:sz w:val="16"/>
          <w:szCs w:val="16"/>
        </w:rPr>
        <w:t xml:space="preserve"> A sanção será obrigatoriamente registrada no Sistema de Cadastramento Unificado de Fornecedores – SICAF, bem como em sistemas Estaduais.</w:t>
      </w:r>
      <w:r w:rsidR="00745602" w:rsidRPr="003E09FE">
        <w:rPr>
          <w:rFonts w:ascii="Arial" w:hAnsi="Arial" w:cs="Arial"/>
          <w:color w:val="000000"/>
          <w:sz w:val="16"/>
          <w:szCs w:val="16"/>
        </w:rPr>
        <w:t xml:space="preserve"> </w:t>
      </w:r>
    </w:p>
    <w:p w:rsidR="00745602" w:rsidRPr="003E09FE" w:rsidRDefault="0068055E" w:rsidP="003E09FE">
      <w:pPr>
        <w:pStyle w:val="PargrafodaLista1"/>
        <w:ind w:left="0"/>
        <w:jc w:val="both"/>
        <w:rPr>
          <w:rFonts w:ascii="Arial" w:hAnsi="Arial" w:cs="Arial"/>
          <w:color w:val="000000"/>
          <w:sz w:val="16"/>
          <w:szCs w:val="16"/>
        </w:rPr>
      </w:pPr>
      <w:r w:rsidRPr="003E09FE">
        <w:rPr>
          <w:rFonts w:ascii="Arial" w:hAnsi="Arial" w:cs="Arial"/>
          <w:b/>
          <w:color w:val="000000"/>
          <w:sz w:val="16"/>
          <w:szCs w:val="16"/>
        </w:rPr>
        <w:t>9</w:t>
      </w:r>
      <w:r w:rsidR="00745602" w:rsidRPr="003E09FE">
        <w:rPr>
          <w:rFonts w:ascii="Arial" w:hAnsi="Arial" w:cs="Arial"/>
          <w:b/>
          <w:color w:val="000000"/>
          <w:sz w:val="16"/>
          <w:szCs w:val="16"/>
        </w:rPr>
        <w:t>.18.</w:t>
      </w:r>
      <w:r w:rsidR="00745602" w:rsidRPr="003E09FE">
        <w:rPr>
          <w:rFonts w:ascii="Arial" w:hAnsi="Arial" w:cs="Arial"/>
          <w:color w:val="000000"/>
          <w:sz w:val="16"/>
          <w:szCs w:val="16"/>
        </w:rPr>
        <w:t xml:space="preserve"> </w:t>
      </w:r>
      <w:r w:rsidR="003E09FE" w:rsidRPr="003E09FE">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68055E" w:rsidRDefault="0068055E" w:rsidP="009F78DE">
      <w:pPr>
        <w:jc w:val="both"/>
        <w:rPr>
          <w:rFonts w:ascii="Arial" w:hAnsi="Arial" w:cs="Arial"/>
          <w:b/>
          <w:bCs/>
          <w:color w:val="000000"/>
          <w:sz w:val="16"/>
          <w:szCs w:val="16"/>
        </w:rPr>
      </w:pP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w:t>
      </w:r>
      <w:bookmarkStart w:id="1" w:name="_GoBack"/>
      <w:bookmarkEnd w:id="1"/>
      <w:r w:rsidR="009D2314" w:rsidRPr="00F61533">
        <w:rPr>
          <w:rFonts w:ascii="Arial" w:hAnsi="Arial" w:cs="Arial"/>
          <w:sz w:val="16"/>
          <w:szCs w:val="16"/>
          <w:lang w:val="pt-PT"/>
        </w:rPr>
        <w:t>,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r w:rsidR="00CC63C7" w:rsidRPr="00F61533">
        <w:rPr>
          <w:rFonts w:ascii="Arial" w:hAnsi="Arial" w:cs="Arial"/>
          <w:sz w:val="16"/>
          <w:szCs w:val="16"/>
        </w:rPr>
        <w:t>sob-hipótese</w:t>
      </w:r>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68055E" w:rsidP="00F24FD2">
      <w:pPr>
        <w:jc w:val="both"/>
        <w:rPr>
          <w:rFonts w:ascii="Arial" w:hAnsi="Arial" w:cs="Arial"/>
          <w:bCs/>
          <w:sz w:val="16"/>
          <w:szCs w:val="16"/>
        </w:rPr>
      </w:pPr>
      <w:r>
        <w:rPr>
          <w:rFonts w:ascii="Arial" w:hAnsi="Arial" w:cs="Arial"/>
          <w:b/>
          <w:bCs/>
          <w:sz w:val="16"/>
          <w:szCs w:val="16"/>
        </w:rPr>
        <w:t>SEFIN</w:t>
      </w:r>
      <w:r w:rsidR="00F24FD2" w:rsidRPr="00F61533">
        <w:rPr>
          <w:rFonts w:ascii="Arial" w:hAnsi="Arial" w:cs="Arial"/>
          <w:b/>
          <w:bCs/>
          <w:sz w:val="16"/>
          <w:szCs w:val="16"/>
        </w:rPr>
        <w:t xml:space="preserve"> </w:t>
      </w:r>
      <w:r w:rsidR="00F24FD2" w:rsidRPr="00F61533">
        <w:rPr>
          <w:rFonts w:ascii="Arial" w:hAnsi="Arial" w:cs="Arial"/>
          <w:bCs/>
          <w:sz w:val="16"/>
          <w:szCs w:val="16"/>
        </w:rPr>
        <w:t xml:space="preserve">– </w:t>
      </w:r>
      <w:r w:rsidR="00F24FD2" w:rsidRPr="00F61533">
        <w:rPr>
          <w:rFonts w:ascii="Arial" w:hAnsi="Arial" w:cs="Arial"/>
          <w:color w:val="000000" w:themeColor="text1"/>
          <w:sz w:val="16"/>
          <w:szCs w:val="16"/>
        </w:rPr>
        <w:t xml:space="preserve">Secretaria de Estado </w:t>
      </w:r>
      <w:r>
        <w:rPr>
          <w:rFonts w:ascii="Arial" w:hAnsi="Arial" w:cs="Arial"/>
          <w:color w:val="000000" w:themeColor="text1"/>
          <w:sz w:val="16"/>
          <w:szCs w:val="16"/>
        </w:rPr>
        <w:t>de Finanças</w:t>
      </w:r>
      <w:r w:rsidR="00F24FD2" w:rsidRPr="00F61533">
        <w:rPr>
          <w:rFonts w:ascii="Arial" w:hAnsi="Arial" w:cs="Arial"/>
          <w:bCs/>
          <w:sz w:val="16"/>
          <w:szCs w:val="16"/>
        </w:rPr>
        <w:t>.</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lastRenderedPageBreak/>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3E09FE" w:rsidRPr="009A54D1" w:rsidRDefault="003E09FE" w:rsidP="003E09F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MÁRCIA CARVALHO GUEDES</w:t>
      </w:r>
    </w:p>
    <w:p w:rsidR="003E09FE" w:rsidRPr="009A54D1" w:rsidRDefault="003E09FE" w:rsidP="003E09F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3E09FE" w:rsidRDefault="003E09FE" w:rsidP="00526790">
      <w:pPr>
        <w:ind w:right="47"/>
        <w:jc w:val="both"/>
        <w:rPr>
          <w:rFonts w:ascii="Arial" w:hAnsi="Arial" w:cs="Arial"/>
          <w:b/>
          <w:bCs/>
          <w:color w:val="000000"/>
          <w:sz w:val="12"/>
          <w:szCs w:val="12"/>
        </w:rPr>
      </w:pPr>
      <w:r w:rsidRPr="003E09FE">
        <w:rPr>
          <w:rFonts w:ascii="Arial" w:hAnsi="Arial" w:cs="Arial"/>
          <w:b/>
          <w:bCs/>
          <w:color w:val="000000"/>
          <w:sz w:val="12"/>
          <w:szCs w:val="12"/>
        </w:rPr>
        <w:t>CMV</w:t>
      </w:r>
      <w:r w:rsidR="002660D3" w:rsidRPr="003E09FE">
        <w:rPr>
          <w:rFonts w:ascii="Arial" w:hAnsi="Arial" w:cs="Arial"/>
          <w:b/>
          <w:bCs/>
          <w:color w:val="000000"/>
          <w:sz w:val="12"/>
          <w:szCs w:val="12"/>
        </w:rPr>
        <w:t>/</w:t>
      </w:r>
      <w:r w:rsidR="00BA5836" w:rsidRPr="003E09FE">
        <w:rPr>
          <w:rFonts w:ascii="Arial" w:hAnsi="Arial" w:cs="Arial"/>
          <w:b/>
          <w:bCs/>
          <w:color w:val="000000"/>
          <w:sz w:val="12"/>
          <w:szCs w:val="12"/>
        </w:rPr>
        <w:t>SRP</w:t>
      </w:r>
    </w:p>
    <w:sectPr w:rsidR="00C50BF7" w:rsidRPr="003E09FE"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1EA" w:rsidRDefault="004771EA">
      <w:r>
        <w:separator/>
      </w:r>
    </w:p>
  </w:endnote>
  <w:endnote w:type="continuationSeparator" w:id="0">
    <w:p w:rsidR="004771EA" w:rsidRDefault="004771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1EA" w:rsidRDefault="004771EA">
      <w:r>
        <w:separator/>
      </w:r>
    </w:p>
  </w:footnote>
  <w:footnote w:type="continuationSeparator" w:id="0">
    <w:p w:rsidR="004771EA" w:rsidRDefault="004771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1EA" w:rsidRDefault="004771E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07DEC"/>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1F7610"/>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203"/>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09FE"/>
    <w:rsid w:val="003E2102"/>
    <w:rsid w:val="003E29C7"/>
    <w:rsid w:val="003E67DB"/>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394B"/>
    <w:rsid w:val="004541E8"/>
    <w:rsid w:val="004553F4"/>
    <w:rsid w:val="00455C66"/>
    <w:rsid w:val="004568C1"/>
    <w:rsid w:val="00456DB6"/>
    <w:rsid w:val="00460C51"/>
    <w:rsid w:val="00461F89"/>
    <w:rsid w:val="0046252C"/>
    <w:rsid w:val="00462AAB"/>
    <w:rsid w:val="00467E48"/>
    <w:rsid w:val="004711F6"/>
    <w:rsid w:val="00473683"/>
    <w:rsid w:val="004741FB"/>
    <w:rsid w:val="004771EA"/>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55E"/>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5602"/>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19E0"/>
    <w:rsid w:val="0082511E"/>
    <w:rsid w:val="00826861"/>
    <w:rsid w:val="008337E8"/>
    <w:rsid w:val="00835CCF"/>
    <w:rsid w:val="0084100A"/>
    <w:rsid w:val="00842914"/>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E40C2"/>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paragraph" w:customStyle="1" w:styleId="tabelatextoalinhadoesquerda">
    <w:name w:val="tabela_texto_alinhado_esquerda"/>
    <w:basedOn w:val="Normal"/>
    <w:rsid w:val="00745602"/>
    <w:pPr>
      <w:spacing w:before="100" w:beforeAutospacing="1" w:after="100" w:afterAutospacing="1"/>
    </w:pPr>
    <w:rPr>
      <w:sz w:val="24"/>
      <w:szCs w:val="24"/>
    </w:rPr>
  </w:style>
  <w:style w:type="paragraph" w:customStyle="1" w:styleId="itemincisoromano">
    <w:name w:val="item_inciso_romano"/>
    <w:basedOn w:val="Normal"/>
    <w:rsid w:val="003E09F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48590667">
      <w:bodyDiv w:val="1"/>
      <w:marLeft w:val="0"/>
      <w:marRight w:val="0"/>
      <w:marTop w:val="0"/>
      <w:marBottom w:val="0"/>
      <w:divBdr>
        <w:top w:val="none" w:sz="0" w:space="0" w:color="auto"/>
        <w:left w:val="none" w:sz="0" w:space="0" w:color="auto"/>
        <w:bottom w:val="none" w:sz="0" w:space="0" w:color="auto"/>
        <w:right w:val="none" w:sz="0" w:space="0" w:color="auto"/>
      </w:divBdr>
    </w:div>
    <w:div w:id="17431357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0F2DD-AC0E-4CDC-9B1C-270457402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3233</Words>
  <Characters>18539</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2019-01-07T16:21:00Z</cp:lastPrinted>
  <dcterms:created xsi:type="dcterms:W3CDTF">2019-04-16T12:15:00Z</dcterms:created>
  <dcterms:modified xsi:type="dcterms:W3CDTF">2019-09-26T11:41:00Z</dcterms:modified>
</cp:coreProperties>
</file>