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06B74">
        <w:rPr>
          <w:rFonts w:ascii="Arial" w:hAnsi="Arial" w:cs="Arial"/>
          <w:b/>
          <w:sz w:val="16"/>
          <w:szCs w:val="16"/>
        </w:rPr>
        <w:t>1</w:t>
      </w:r>
      <w:r w:rsidR="00C74BC2">
        <w:rPr>
          <w:rFonts w:ascii="Arial" w:hAnsi="Arial" w:cs="Arial"/>
          <w:b/>
          <w:sz w:val="16"/>
          <w:szCs w:val="16"/>
        </w:rPr>
        <w:t>2</w:t>
      </w:r>
      <w:r w:rsidR="00E452F6">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w:t>
      </w:r>
      <w:r w:rsidR="00C74BC2">
        <w:rPr>
          <w:rFonts w:ascii="Arial" w:hAnsi="Arial" w:cs="Arial"/>
          <w:b/>
          <w:bCs/>
          <w:sz w:val="16"/>
          <w:szCs w:val="16"/>
        </w:rPr>
        <w:t>5</w:t>
      </w:r>
      <w:r w:rsidR="00E452F6">
        <w:rPr>
          <w:rFonts w:ascii="Arial" w:hAnsi="Arial" w:cs="Arial"/>
          <w:b/>
          <w:bCs/>
          <w:sz w:val="16"/>
          <w:szCs w:val="16"/>
        </w:rPr>
        <w:t>03</w:t>
      </w:r>
      <w:r w:rsidR="00C74BC2">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E452F6" w:rsidRPr="00E452F6">
        <w:rPr>
          <w:rFonts w:ascii="Arial" w:hAnsi="Arial" w:cs="Arial"/>
          <w:b/>
          <w:bCs/>
          <w:sz w:val="16"/>
          <w:szCs w:val="16"/>
        </w:rPr>
        <w:t>0049.248590/2018-31</w:t>
      </w:r>
    </w:p>
    <w:p w:rsidR="00145D13" w:rsidRPr="00FF1F0B" w:rsidRDefault="00145D13" w:rsidP="009D2314">
      <w:pPr>
        <w:jc w:val="both"/>
        <w:rPr>
          <w:rFonts w:ascii="Arial" w:hAnsi="Arial" w:cs="Arial"/>
          <w:b/>
          <w:sz w:val="16"/>
          <w:szCs w:val="16"/>
        </w:rPr>
      </w:pPr>
    </w:p>
    <w:p w:rsidR="009D2314" w:rsidRPr="00E452F6" w:rsidRDefault="002E300A" w:rsidP="004F5D60">
      <w:pPr>
        <w:tabs>
          <w:tab w:val="left" w:pos="709"/>
        </w:tabs>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E452F6" w:rsidRPr="00E452F6">
        <w:rPr>
          <w:rFonts w:ascii="Arial" w:hAnsi="Arial" w:cs="Arial"/>
          <w:sz w:val="16"/>
          <w:szCs w:val="16"/>
        </w:rPr>
        <w:t xml:space="preserve">para futura e eventual aquisição de material permanente para </w:t>
      </w:r>
      <w:proofErr w:type="spellStart"/>
      <w:r w:rsidR="00E452F6" w:rsidRPr="00E452F6">
        <w:rPr>
          <w:rFonts w:ascii="Arial" w:hAnsi="Arial" w:cs="Arial"/>
          <w:sz w:val="16"/>
          <w:szCs w:val="16"/>
        </w:rPr>
        <w:t>Colangiopancreatografia</w:t>
      </w:r>
      <w:proofErr w:type="spellEnd"/>
      <w:r w:rsidR="00E452F6" w:rsidRPr="00E452F6">
        <w:rPr>
          <w:rFonts w:ascii="Arial" w:hAnsi="Arial" w:cs="Arial"/>
          <w:sz w:val="16"/>
          <w:szCs w:val="16"/>
        </w:rPr>
        <w:t xml:space="preserve"> Retrograda Endoscópica (CPRE) para atender o centro cirúrgico do Hospital de Base “DR. Ary Pinheiro”, por </w:t>
      </w:r>
      <w:r w:rsidR="00E452F6">
        <w:rPr>
          <w:rFonts w:ascii="Arial" w:hAnsi="Arial" w:cs="Arial"/>
          <w:sz w:val="16"/>
          <w:szCs w:val="16"/>
        </w:rPr>
        <w:t xml:space="preserve">um período de 12 meses, </w:t>
      </w:r>
      <w:r w:rsidR="00B86DDD" w:rsidRPr="00E452F6">
        <w:rPr>
          <w:rFonts w:ascii="Arial" w:hAnsi="Arial" w:cs="Arial"/>
          <w:color w:val="000000" w:themeColor="text1"/>
          <w:sz w:val="16"/>
          <w:szCs w:val="16"/>
        </w:rPr>
        <w:t xml:space="preserve">a pedido da Secretaria de Estado de Saúde – SESAU, </w:t>
      </w:r>
      <w:r w:rsidR="00506B74" w:rsidRPr="00E452F6">
        <w:rPr>
          <w:rFonts w:ascii="Arial" w:hAnsi="Arial" w:cs="Arial"/>
          <w:color w:val="000000" w:themeColor="text1"/>
          <w:sz w:val="16"/>
          <w:szCs w:val="16"/>
        </w:rPr>
        <w:t> </w:t>
      </w:r>
      <w:r w:rsidR="00A212A5" w:rsidRPr="00E452F6">
        <w:rPr>
          <w:rFonts w:ascii="Arial" w:hAnsi="Arial" w:cs="Arial"/>
          <w:color w:val="000000" w:themeColor="text1"/>
          <w:sz w:val="16"/>
          <w:szCs w:val="16"/>
        </w:rPr>
        <w:t>conforme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8A7686">
      <w:pPr>
        <w:rPr>
          <w:rFonts w:ascii="Arial" w:hAnsi="Arial" w:cs="Arial"/>
          <w:color w:val="000000" w:themeColor="text1"/>
          <w:sz w:val="16"/>
          <w:szCs w:val="16"/>
        </w:rPr>
      </w:pPr>
    </w:p>
    <w:p w:rsidR="009D2314" w:rsidRPr="00E452F6" w:rsidRDefault="009D2314" w:rsidP="009D2314">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E452F6" w:rsidRDefault="002E300A" w:rsidP="008C7613">
      <w:pPr>
        <w:jc w:val="both"/>
        <w:rPr>
          <w:rFonts w:ascii="Arial" w:hAnsi="Arial" w:cs="Arial"/>
          <w:color w:val="000000" w:themeColor="text1"/>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E452F6" w:rsidRPr="00E452F6">
        <w:rPr>
          <w:rFonts w:ascii="Arial" w:hAnsi="Arial" w:cs="Arial"/>
          <w:sz w:val="16"/>
          <w:szCs w:val="16"/>
        </w:rPr>
        <w:t xml:space="preserve">para futura e eventual aquisição de material permanente para </w:t>
      </w:r>
      <w:proofErr w:type="spellStart"/>
      <w:r w:rsidR="00E452F6" w:rsidRPr="00E452F6">
        <w:rPr>
          <w:rFonts w:ascii="Arial" w:hAnsi="Arial" w:cs="Arial"/>
          <w:sz w:val="16"/>
          <w:szCs w:val="16"/>
        </w:rPr>
        <w:t>Colangiopancreatografia</w:t>
      </w:r>
      <w:proofErr w:type="spellEnd"/>
      <w:r w:rsidR="00E452F6" w:rsidRPr="00E452F6">
        <w:rPr>
          <w:rFonts w:ascii="Arial" w:hAnsi="Arial" w:cs="Arial"/>
          <w:sz w:val="16"/>
          <w:szCs w:val="16"/>
        </w:rPr>
        <w:t xml:space="preserve"> Retrograda Endoscópica (CPRE) para atender o centro cirúrgico do Hospital de Base “DR. Ary Pinhei</w:t>
      </w:r>
      <w:r w:rsidR="00E452F6">
        <w:rPr>
          <w:rFonts w:ascii="Arial" w:hAnsi="Arial" w:cs="Arial"/>
          <w:sz w:val="16"/>
          <w:szCs w:val="16"/>
        </w:rPr>
        <w:t xml:space="preserve">ro”, por um período de 12 meses, </w:t>
      </w:r>
      <w:r w:rsidR="00C74BC2" w:rsidRPr="00E452F6">
        <w:rPr>
          <w:rFonts w:ascii="Arial" w:hAnsi="Arial" w:cs="Arial"/>
          <w:color w:val="000000" w:themeColor="text1"/>
          <w:sz w:val="16"/>
          <w:szCs w:val="16"/>
        </w:rPr>
        <w:t>a pedido da Secretaria de Estado de Saúde – SESAU</w:t>
      </w:r>
      <w:r w:rsidR="004F5D60" w:rsidRPr="00E452F6">
        <w:rPr>
          <w:rFonts w:ascii="Arial" w:hAnsi="Arial" w:cs="Arial"/>
          <w:color w:val="000000" w:themeColor="text1"/>
          <w:sz w:val="16"/>
          <w:szCs w:val="16"/>
        </w:rPr>
        <w:t>.</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C74BC2" w:rsidRDefault="00A14D66" w:rsidP="00206244">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206244">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206244">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452F6" w:rsidRPr="00E452F6" w:rsidRDefault="00206244" w:rsidP="00E452F6">
      <w:pPr>
        <w:jc w:val="both"/>
        <w:rPr>
          <w:rFonts w:ascii="Arial" w:hAnsi="Arial" w:cs="Arial"/>
          <w:sz w:val="16"/>
          <w:szCs w:val="16"/>
        </w:rPr>
      </w:pPr>
      <w:r w:rsidRPr="00E452F6">
        <w:rPr>
          <w:rFonts w:ascii="Arial" w:hAnsi="Arial" w:cs="Arial"/>
          <w:b/>
          <w:sz w:val="16"/>
          <w:szCs w:val="16"/>
        </w:rPr>
        <w:t xml:space="preserve">6.3. </w:t>
      </w:r>
      <w:r w:rsidR="00C74BC2" w:rsidRPr="00E452F6">
        <w:rPr>
          <w:rFonts w:ascii="Arial" w:hAnsi="Arial" w:cs="Arial"/>
          <w:b/>
          <w:sz w:val="16"/>
          <w:szCs w:val="16"/>
        </w:rPr>
        <w:t xml:space="preserve">PRAZO </w:t>
      </w:r>
      <w:r w:rsidR="004F5D60" w:rsidRPr="00E452F6">
        <w:rPr>
          <w:rFonts w:ascii="Arial" w:hAnsi="Arial" w:cs="Arial"/>
          <w:b/>
          <w:sz w:val="16"/>
          <w:szCs w:val="16"/>
        </w:rPr>
        <w:t>D</w:t>
      </w:r>
      <w:r w:rsidR="00C74BC2" w:rsidRPr="00E452F6">
        <w:rPr>
          <w:rFonts w:ascii="Arial" w:hAnsi="Arial" w:cs="Arial"/>
          <w:b/>
          <w:sz w:val="16"/>
          <w:szCs w:val="16"/>
        </w:rPr>
        <w:t>E</w:t>
      </w:r>
      <w:r w:rsidR="004F5D60" w:rsidRPr="00E452F6">
        <w:rPr>
          <w:rFonts w:ascii="Arial" w:hAnsi="Arial" w:cs="Arial"/>
          <w:b/>
          <w:sz w:val="16"/>
          <w:szCs w:val="16"/>
        </w:rPr>
        <w:t xml:space="preserve"> OBJETO</w:t>
      </w:r>
      <w:r w:rsidRPr="00E452F6">
        <w:rPr>
          <w:rFonts w:ascii="Arial" w:hAnsi="Arial" w:cs="Arial"/>
          <w:b/>
          <w:sz w:val="16"/>
          <w:szCs w:val="16"/>
        </w:rPr>
        <w:t>:</w:t>
      </w:r>
      <w:r w:rsidRPr="00E452F6">
        <w:rPr>
          <w:rFonts w:ascii="Arial" w:hAnsi="Arial" w:cs="Arial"/>
          <w:sz w:val="16"/>
          <w:szCs w:val="16"/>
        </w:rPr>
        <w:t xml:space="preserve"> </w:t>
      </w:r>
      <w:r w:rsidR="00E452F6" w:rsidRPr="00E452F6">
        <w:rPr>
          <w:rFonts w:ascii="Arial" w:hAnsi="Arial" w:cs="Arial"/>
          <w:sz w:val="16"/>
          <w:szCs w:val="16"/>
        </w:rPr>
        <w:t>O prazo para início da entrega do material será de 30 (Trinta) dias após o recebimento da Nota de Empenho.</w:t>
      </w:r>
    </w:p>
    <w:p w:rsidR="00E452F6" w:rsidRDefault="00206244" w:rsidP="00E452F6">
      <w:pPr>
        <w:jc w:val="both"/>
        <w:rPr>
          <w:rFonts w:ascii="Arial" w:hAnsi="Arial" w:cs="Arial"/>
          <w:sz w:val="16"/>
          <w:szCs w:val="16"/>
        </w:rPr>
      </w:pPr>
      <w:r w:rsidRPr="00E452F6">
        <w:rPr>
          <w:rFonts w:ascii="Arial" w:hAnsi="Arial" w:cs="Arial"/>
          <w:b/>
          <w:sz w:val="16"/>
          <w:szCs w:val="16"/>
        </w:rPr>
        <w:t>6.4. DO LOCAL DE ENTREGA:</w:t>
      </w:r>
      <w:r w:rsidRPr="00E452F6">
        <w:rPr>
          <w:rFonts w:ascii="Arial" w:hAnsi="Arial" w:cs="Arial"/>
          <w:sz w:val="16"/>
          <w:szCs w:val="16"/>
        </w:rPr>
        <w:t xml:space="preserve"> </w:t>
      </w:r>
      <w:r w:rsidR="00E452F6" w:rsidRPr="00E452F6">
        <w:rPr>
          <w:rFonts w:ascii="Arial" w:hAnsi="Arial" w:cs="Arial"/>
          <w:sz w:val="16"/>
          <w:szCs w:val="16"/>
        </w:rPr>
        <w:t>Os materiais deverão ser entregues no Almoxarifado Central/SESAU – GAP: Rua Aparício de Moraes, nº 4348 - Bairro Industrial - CEP: 76.821-240 - Porto Velho/RO, Telefone: (69) 3216–5475. O expediente é de segunda a sexta, das 7:30 as 13:30 horas, onde será entregue conforme necessidade da unidade hospitalar/HBAP.</w:t>
      </w:r>
    </w:p>
    <w:p w:rsidR="00E452F6" w:rsidRDefault="00E452F6" w:rsidP="00E452F6">
      <w:pPr>
        <w:jc w:val="both"/>
        <w:rPr>
          <w:rFonts w:ascii="Arial" w:hAnsi="Arial" w:cs="Arial"/>
          <w:sz w:val="16"/>
          <w:szCs w:val="16"/>
        </w:rPr>
      </w:pPr>
    </w:p>
    <w:p w:rsidR="00E452F6" w:rsidRPr="00E452F6" w:rsidRDefault="00E452F6" w:rsidP="00E452F6">
      <w:pPr>
        <w:jc w:val="both"/>
        <w:rPr>
          <w:rFonts w:ascii="Arial" w:hAnsi="Arial" w:cs="Arial"/>
          <w:sz w:val="16"/>
          <w:szCs w:val="16"/>
        </w:rPr>
      </w:pPr>
    </w:p>
    <w:p w:rsidR="00E452F6" w:rsidRPr="00E452F6" w:rsidRDefault="00A14D66" w:rsidP="00E452F6">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452F6">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 xml:space="preserve">A nota fiscal não aprovada será devolvida à empresa detentora da Ata para as necessárias correções, com as informações que motivaram sua rejeição, contando-se o prazo estabelecido no subitem 6.2. </w:t>
      </w:r>
      <w:proofErr w:type="gramStart"/>
      <w:r w:rsidR="009D2314" w:rsidRPr="00E452F6">
        <w:rPr>
          <w:rFonts w:ascii="Arial" w:hAnsi="Arial" w:cs="Arial"/>
          <w:sz w:val="16"/>
          <w:szCs w:val="16"/>
        </w:rPr>
        <w:t>a</w:t>
      </w:r>
      <w:proofErr w:type="gramEnd"/>
      <w:r w:rsidR="009D2314" w:rsidRPr="00E452F6">
        <w:rPr>
          <w:rFonts w:ascii="Arial" w:hAnsi="Arial" w:cs="Arial"/>
          <w:sz w:val="16"/>
          <w:szCs w:val="16"/>
        </w:rPr>
        <w:t xml:space="preserve"> partir da data de sua reapresentação.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3537BB">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9D2314">
      <w:pPr>
        <w:pStyle w:val="NormalWeb"/>
        <w:spacing w:before="0" w:beforeAutospacing="0" w:after="0" w:afterAutospacing="0"/>
        <w:jc w:val="both"/>
        <w:rPr>
          <w:rFonts w:ascii="Arial" w:hAnsi="Arial" w:cs="Arial"/>
          <w:b/>
          <w:bCs/>
          <w:sz w:val="16"/>
          <w:szCs w:val="16"/>
        </w:rPr>
      </w:pPr>
    </w:p>
    <w:p w:rsidR="009D2314" w:rsidRPr="00C74BC2" w:rsidRDefault="009D2314" w:rsidP="009D2314">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6E65B3">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9D2314">
      <w:pPr>
        <w:pStyle w:val="Corpodetexto2"/>
        <w:ind w:right="-1" w:firstLine="0"/>
        <w:rPr>
          <w:sz w:val="16"/>
          <w:szCs w:val="16"/>
        </w:rPr>
      </w:pPr>
    </w:p>
    <w:p w:rsidR="009D2314" w:rsidRPr="00E452F6" w:rsidRDefault="006E65B3" w:rsidP="00FD530E">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 Cobrança pelo Estado, por via administrativa ou judicial, de multa equivalente a 1% (um por cento) do valor estimado pelo item ofertado.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lastRenderedPageBreak/>
        <w:t>9</w:t>
      </w:r>
      <w:r w:rsidRPr="00E452F6">
        <w:rPr>
          <w:rFonts w:ascii="Arial" w:hAnsi="Arial" w:cs="Arial"/>
          <w:color w:val="000000"/>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.3.1. Advertência, sempre que for constatada irregularidade de pouca gravidade, para as quais tenha a Contratada concorrida diretamente, ocorrência que será registrada no Cadastro de Fornecedores do Estado de Rondônia;</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.3.2. Multa de 0,2% (dois décimos por cento) ao dia, por atraso no fornecimento e por </w:t>
      </w:r>
      <w:proofErr w:type="gramStart"/>
      <w:r w:rsidRPr="00E452F6">
        <w:rPr>
          <w:rFonts w:ascii="Arial" w:hAnsi="Arial" w:cs="Arial"/>
          <w:color w:val="000000"/>
          <w:sz w:val="16"/>
          <w:szCs w:val="16"/>
        </w:rPr>
        <w:t>entrega  em</w:t>
      </w:r>
      <w:proofErr w:type="gramEnd"/>
      <w:r w:rsidRPr="00E452F6">
        <w:rPr>
          <w:rFonts w:ascii="Arial" w:hAnsi="Arial" w:cs="Arial"/>
          <w:color w:val="000000"/>
          <w:sz w:val="16"/>
          <w:szCs w:val="16"/>
        </w:rPr>
        <w:t xml:space="preserve"> desacordo com as especificações estabelecidas neste Edital, até o décimo dia corrido;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.3.3. Multa de 10% (dez por cento), na hipótese de inexecução parcial ou total de cada Nota de Empenho, calculada sobre o valor total da inadimplência ou na hipótese do não cumprimento de qualquer das obrigações assumidas;</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.4. As multas serão, após regular processo administrativo, descontadas dos créditos da empresa detentora da Ata ou, se for o caso, cobrada administrativa ou judicialmente.</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.5. As penalidades previstas neste item têm caráter de sanção administrativa, </w:t>
      </w:r>
      <w:proofErr w:type="spellStart"/>
      <w:r w:rsidRPr="00E452F6">
        <w:rPr>
          <w:rFonts w:ascii="Arial" w:hAnsi="Arial" w:cs="Arial"/>
          <w:color w:val="000000"/>
          <w:sz w:val="16"/>
          <w:szCs w:val="16"/>
        </w:rPr>
        <w:t>conseqüentemente</w:t>
      </w:r>
      <w:proofErr w:type="spellEnd"/>
      <w:r w:rsidRPr="00E452F6">
        <w:rPr>
          <w:rFonts w:ascii="Arial" w:hAnsi="Arial" w:cs="Arial"/>
          <w:color w:val="000000"/>
          <w:sz w:val="16"/>
          <w:szCs w:val="16"/>
        </w:rPr>
        <w:t>, a sua aplicação não exime a empresa detentora da Ata da reparação das eventuais perdas e danos que seu ato venha acarretar ao Estado de Rondônia.</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.6. As penalidades são independentes e a aplicação de uma não exclui a das demais, quando cabíveis.</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.8. Desclassificação, se a seleção se encontrar em fase de julgamento;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.9. Cancelamento do preço registrado, procedendo-se à paralisação do fornecimento.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 O preço registrado poderá ser cancelado pela Administração Pública, nos termos do Artigo 24 e 25 do Decreto 18.340/13, quando: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.10.1. A Detentora do Registro deixar de cumprir total ou parcial as condições da Ata de Registro de Preços.</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.10.2. A Detentora do Registro não retirar a nota de empenho </w:t>
      </w:r>
      <w:proofErr w:type="gramStart"/>
      <w:r w:rsidRPr="00E452F6">
        <w:rPr>
          <w:rFonts w:ascii="Arial" w:hAnsi="Arial" w:cs="Arial"/>
          <w:color w:val="000000"/>
          <w:sz w:val="16"/>
          <w:szCs w:val="16"/>
        </w:rPr>
        <w:t>ou  instrumento</w:t>
      </w:r>
      <w:proofErr w:type="gramEnd"/>
      <w:r w:rsidRPr="00E452F6">
        <w:rPr>
          <w:rFonts w:ascii="Arial" w:hAnsi="Arial" w:cs="Arial"/>
          <w:color w:val="000000"/>
          <w:sz w:val="16"/>
          <w:szCs w:val="16"/>
        </w:rPr>
        <w:t xml:space="preserve"> equivalente no prazo estabelecido, sem justificativa aceita pela Administração;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.10.3. A detentora incorrer reiteradamente em infrações previstas no Edital;</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.10.4. A Detentora do Registro que praticar atos fraudulentos no intuito de auferir vantagem ilícita;</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.10.5. Não aceitar reduzir o seu preço registrado, na hipótese deste se tornar superior aqueles praticados no mercador ou sofrer sanção prevista nos incisos III ou IV do </w:t>
      </w:r>
      <w:proofErr w:type="gramStart"/>
      <w:r w:rsidRPr="00E452F6">
        <w:rPr>
          <w:rFonts w:ascii="Arial" w:hAnsi="Arial" w:cs="Arial"/>
          <w:color w:val="000000"/>
          <w:sz w:val="16"/>
          <w:szCs w:val="16"/>
        </w:rPr>
        <w:t>caput  do</w:t>
      </w:r>
      <w:proofErr w:type="gramEnd"/>
      <w:r w:rsidRPr="00E452F6">
        <w:rPr>
          <w:rFonts w:ascii="Arial" w:hAnsi="Arial" w:cs="Arial"/>
          <w:color w:val="000000"/>
          <w:sz w:val="16"/>
          <w:szCs w:val="16"/>
        </w:rPr>
        <w:t xml:space="preserve"> artigo 87 da Lei 8.666/93 ou no artigo 7º da Lei 10.520/02.</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.10.6. Por razões de interesse público, mediante despacho motivado, devidamente justificado.</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.10.7. O cancelamento do registro nas hipóteses nos subitens </w:t>
      </w:r>
      <w:r w:rsidRPr="00E452F6">
        <w:rPr>
          <w:rFonts w:ascii="Arial" w:hAnsi="Arial" w:cs="Arial"/>
          <w:color w:val="000000"/>
          <w:sz w:val="16"/>
          <w:szCs w:val="16"/>
        </w:rPr>
        <w:t>9</w:t>
      </w:r>
      <w:r w:rsidRPr="00E452F6">
        <w:rPr>
          <w:rFonts w:ascii="Arial" w:hAnsi="Arial" w:cs="Arial"/>
          <w:color w:val="000000"/>
          <w:sz w:val="16"/>
          <w:szCs w:val="16"/>
        </w:rPr>
        <w:t xml:space="preserve">.10.1, </w:t>
      </w:r>
      <w:r w:rsidRPr="00E452F6">
        <w:rPr>
          <w:rFonts w:ascii="Arial" w:hAnsi="Arial" w:cs="Arial"/>
          <w:color w:val="000000"/>
          <w:sz w:val="16"/>
          <w:szCs w:val="16"/>
        </w:rPr>
        <w:t>9</w:t>
      </w:r>
      <w:r w:rsidRPr="00E452F6">
        <w:rPr>
          <w:rFonts w:ascii="Arial" w:hAnsi="Arial" w:cs="Arial"/>
          <w:color w:val="000000"/>
          <w:sz w:val="16"/>
          <w:szCs w:val="16"/>
        </w:rPr>
        <w:t xml:space="preserve">.10.2, </w:t>
      </w:r>
      <w:r w:rsidRPr="00E452F6">
        <w:rPr>
          <w:rFonts w:ascii="Arial" w:hAnsi="Arial" w:cs="Arial"/>
          <w:color w:val="000000"/>
          <w:sz w:val="16"/>
          <w:szCs w:val="16"/>
        </w:rPr>
        <w:t>9</w:t>
      </w:r>
      <w:r w:rsidRPr="00E452F6">
        <w:rPr>
          <w:rFonts w:ascii="Arial" w:hAnsi="Arial" w:cs="Arial"/>
          <w:color w:val="000000"/>
          <w:sz w:val="16"/>
          <w:szCs w:val="16"/>
        </w:rPr>
        <w:t>.10.5 será formalizado por despacho do órgão gerenciador, assegurado o contraditório e a ampla defesa.</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 xml:space="preserve">.10.8. O cancelamento do registro nas hipóteses dos subitens </w:t>
      </w:r>
      <w:r w:rsidRPr="00E452F6">
        <w:rPr>
          <w:rFonts w:ascii="Arial" w:hAnsi="Arial" w:cs="Arial"/>
          <w:color w:val="000000"/>
          <w:sz w:val="16"/>
          <w:szCs w:val="16"/>
        </w:rPr>
        <w:t>9</w:t>
      </w:r>
      <w:r w:rsidRPr="00E452F6">
        <w:rPr>
          <w:rFonts w:ascii="Arial" w:hAnsi="Arial" w:cs="Arial"/>
          <w:color w:val="000000"/>
          <w:sz w:val="16"/>
          <w:szCs w:val="16"/>
        </w:rPr>
        <w:t xml:space="preserve">.10.1 e </w:t>
      </w:r>
      <w:r w:rsidRPr="00E452F6">
        <w:rPr>
          <w:rFonts w:ascii="Arial" w:hAnsi="Arial" w:cs="Arial"/>
          <w:color w:val="000000"/>
          <w:sz w:val="16"/>
          <w:szCs w:val="16"/>
        </w:rPr>
        <w:t>9</w:t>
      </w:r>
      <w:r w:rsidRPr="00E452F6">
        <w:rPr>
          <w:rFonts w:ascii="Arial" w:hAnsi="Arial" w:cs="Arial"/>
          <w:color w:val="000000"/>
          <w:sz w:val="16"/>
          <w:szCs w:val="16"/>
        </w:rPr>
        <w:t>.10.2 acarretará ainda a aplicação das penalidades cabíveis, assegurado o contraditório e a ampla defesa.</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.10.9. O cancelamento do registro de preços poderá ocorrer por fato superveniente, decorrente de caso fortuito ou força maior, que prejudique o cumprimento da ata, devidamente comprovados e justificados:</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.10.9.1 por razões de interesse público ou</w:t>
      </w:r>
    </w:p>
    <w:p w:rsidR="00E452F6" w:rsidRPr="00E452F6" w:rsidRDefault="00E452F6" w:rsidP="00E452F6">
      <w:pPr>
        <w:ind w:right="60"/>
        <w:jc w:val="both"/>
        <w:rPr>
          <w:rFonts w:ascii="Arial" w:hAnsi="Arial" w:cs="Arial"/>
          <w:color w:val="000000"/>
          <w:sz w:val="16"/>
          <w:szCs w:val="16"/>
        </w:rPr>
      </w:pPr>
      <w:r w:rsidRPr="00E452F6">
        <w:rPr>
          <w:rFonts w:ascii="Arial" w:hAnsi="Arial" w:cs="Arial"/>
          <w:color w:val="000000"/>
          <w:sz w:val="16"/>
          <w:szCs w:val="16"/>
        </w:rPr>
        <w:t>9</w:t>
      </w:r>
      <w:r w:rsidRPr="00E452F6">
        <w:rPr>
          <w:rFonts w:ascii="Arial" w:hAnsi="Arial" w:cs="Arial"/>
          <w:color w:val="000000"/>
          <w:sz w:val="16"/>
          <w:szCs w:val="16"/>
        </w:rPr>
        <w:t>.10.9.2 a pedido do fornecedor.</w:t>
      </w:r>
    </w:p>
    <w:p w:rsidR="00BA589F" w:rsidRPr="00E452F6" w:rsidRDefault="00BA589F" w:rsidP="00FD530E">
      <w:pPr>
        <w:tabs>
          <w:tab w:val="left" w:pos="0"/>
          <w:tab w:val="left" w:pos="142"/>
        </w:tabs>
        <w:spacing w:before="120" w:after="120"/>
        <w:ind w:right="120"/>
        <w:jc w:val="both"/>
        <w:rPr>
          <w:rFonts w:ascii="Arial" w:hAnsi="Arial" w:cs="Arial"/>
          <w:color w:val="000000"/>
          <w:sz w:val="16"/>
          <w:szCs w:val="16"/>
        </w:rPr>
      </w:pPr>
      <w:bookmarkStart w:id="1" w:name="_GoBack"/>
      <w:bookmarkEnd w:id="1"/>
    </w:p>
    <w:p w:rsidR="002069DE" w:rsidRPr="00206244" w:rsidRDefault="002069DE" w:rsidP="00FD530E">
      <w:pPr>
        <w:jc w:val="both"/>
        <w:rPr>
          <w:bCs/>
          <w:sz w:val="16"/>
          <w:szCs w:val="16"/>
        </w:rPr>
      </w:pPr>
    </w:p>
    <w:p w:rsidR="009D2314" w:rsidRPr="009B3214" w:rsidRDefault="00CC63C7" w:rsidP="00FD53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FD530E">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FD530E">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FD530E">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FD530E">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FD530E">
      <w:pPr>
        <w:jc w:val="both"/>
        <w:rPr>
          <w:rFonts w:ascii="Arial" w:hAnsi="Arial" w:cs="Arial"/>
          <w:color w:val="000000"/>
          <w:sz w:val="16"/>
          <w:szCs w:val="16"/>
        </w:rPr>
      </w:pPr>
    </w:p>
    <w:p w:rsidR="00145D13" w:rsidRPr="003537BB" w:rsidRDefault="003537BB" w:rsidP="00FD530E">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FD530E">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FD530E">
      <w:pPr>
        <w:pStyle w:val="Corpodetexto3"/>
        <w:tabs>
          <w:tab w:val="left" w:pos="900"/>
        </w:tabs>
        <w:ind w:right="47"/>
        <w:rPr>
          <w:rFonts w:ascii="Arial" w:hAnsi="Arial" w:cs="Arial"/>
          <w:sz w:val="16"/>
          <w:szCs w:val="16"/>
        </w:rPr>
      </w:pPr>
    </w:p>
    <w:p w:rsidR="009D2314" w:rsidRPr="006E65B3" w:rsidRDefault="009D2314" w:rsidP="00FD530E">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FD530E">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FD530E">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FD530E">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FD530E">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D530E">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D530E">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FD530E">
      <w:pPr>
        <w:pStyle w:val="Corpodetexto3"/>
        <w:tabs>
          <w:tab w:val="left" w:pos="900"/>
        </w:tabs>
        <w:ind w:right="47"/>
        <w:rPr>
          <w:rFonts w:ascii="Arial" w:hAnsi="Arial" w:cs="Arial"/>
          <w:sz w:val="16"/>
          <w:szCs w:val="16"/>
        </w:rPr>
      </w:pPr>
    </w:p>
    <w:p w:rsidR="009D2314" w:rsidRPr="009A54D1" w:rsidRDefault="009D2314" w:rsidP="00FD530E">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FD530E">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FD530E">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w:t>
      </w:r>
      <w:r w:rsidR="00262E43">
        <w:rPr>
          <w:rFonts w:ascii="Arial" w:hAnsi="Arial" w:cs="Arial"/>
          <w:color w:val="000000"/>
          <w:sz w:val="16"/>
          <w:szCs w:val="16"/>
        </w:rPr>
        <w:t>a</w:t>
      </w:r>
      <w:r>
        <w:rPr>
          <w:rFonts w:ascii="Arial" w:hAnsi="Arial" w:cs="Arial"/>
          <w:color w:val="000000"/>
          <w:sz w:val="16"/>
          <w:szCs w:val="16"/>
        </w:rPr>
        <w:t xml:space="preserve"> Saúde</w:t>
      </w:r>
      <w:r w:rsidR="00173314">
        <w:rPr>
          <w:rFonts w:ascii="Arial" w:hAnsi="Arial" w:cs="Arial"/>
          <w:color w:val="000000"/>
          <w:sz w:val="16"/>
          <w:szCs w:val="16"/>
        </w:rPr>
        <w:t>.</w:t>
      </w:r>
    </w:p>
    <w:p w:rsidR="00173314" w:rsidRPr="009A54D1" w:rsidRDefault="00173314" w:rsidP="00FD530E">
      <w:pPr>
        <w:jc w:val="both"/>
        <w:rPr>
          <w:rFonts w:ascii="Arial" w:hAnsi="Arial"/>
          <w:sz w:val="16"/>
          <w:szCs w:val="16"/>
        </w:rPr>
      </w:pPr>
    </w:p>
    <w:p w:rsidR="009D2314" w:rsidRPr="009A54D1" w:rsidRDefault="009D2314" w:rsidP="00FD530E">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D530E">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FD530E">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FD530E">
      <w:pPr>
        <w:jc w:val="both"/>
        <w:rPr>
          <w:rFonts w:ascii="Arial" w:hAnsi="Arial" w:cs="Arial"/>
          <w:color w:val="000000"/>
          <w:sz w:val="16"/>
          <w:szCs w:val="16"/>
        </w:rPr>
      </w:pPr>
    </w:p>
    <w:p w:rsidR="009D2314" w:rsidRPr="009A54D1" w:rsidRDefault="003B608D" w:rsidP="00FD530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A589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19"/>
    <w:lvlOverride w:ilvl="0">
      <w:startOverride w:val="2"/>
    </w:lvlOverride>
  </w:num>
  <w:num w:numId="4">
    <w:abstractNumId w:val="12"/>
  </w:num>
  <w:num w:numId="5">
    <w:abstractNumId w:val="10"/>
  </w:num>
  <w:num w:numId="6">
    <w:abstractNumId w:val="16"/>
    <w:lvlOverride w:ilvl="0">
      <w:startOverride w:val="2"/>
    </w:lvlOverride>
  </w:num>
  <w:num w:numId="7">
    <w:abstractNumId w:val="18"/>
    <w:lvlOverride w:ilvl="0">
      <w:startOverride w:val="3"/>
    </w:lvlOverride>
  </w:num>
  <w:num w:numId="8">
    <w:abstractNumId w:val="8"/>
    <w:lvlOverride w:ilvl="0">
      <w:startOverride w:val="4"/>
    </w:lvlOverride>
  </w:num>
  <w:num w:numId="9">
    <w:abstractNumId w:val="7"/>
    <w:lvlOverride w:ilvl="0">
      <w:startOverride w:val="5"/>
    </w:lvlOverride>
  </w:num>
  <w:num w:numId="10">
    <w:abstractNumId w:val="2"/>
    <w:lvlOverride w:ilvl="0">
      <w:startOverride w:val="6"/>
    </w:lvlOverride>
  </w:num>
  <w:num w:numId="11">
    <w:abstractNumId w:val="5"/>
    <w:lvlOverride w:ilvl="0">
      <w:startOverride w:val="7"/>
    </w:lvlOverride>
  </w:num>
  <w:num w:numId="12">
    <w:abstractNumId w:val="14"/>
    <w:lvlOverride w:ilvl="0">
      <w:startOverride w:val="8"/>
    </w:lvlOverride>
  </w:num>
  <w:num w:numId="13">
    <w:abstractNumId w:val="13"/>
    <w:lvlOverride w:ilvl="0">
      <w:startOverride w:val="9"/>
    </w:lvlOverride>
  </w:num>
  <w:num w:numId="14">
    <w:abstractNumId w:val="3"/>
    <w:lvlOverride w:ilvl="0">
      <w:startOverride w:val="10"/>
    </w:lvlOverride>
  </w:num>
  <w:num w:numId="15">
    <w:abstractNumId w:val="15"/>
    <w:lvlOverride w:ilvl="0">
      <w:startOverride w:val="11"/>
    </w:lvlOverride>
  </w:num>
  <w:num w:numId="16">
    <w:abstractNumId w:val="1"/>
    <w:lvlOverride w:ilvl="0">
      <w:startOverride w:val="12"/>
    </w:lvlOverride>
  </w:num>
  <w:num w:numId="17">
    <w:abstractNumId w:val="17"/>
    <w:lvlOverride w:ilvl="0">
      <w:startOverride w:val="13"/>
    </w:lvlOverride>
  </w:num>
  <w:num w:numId="18">
    <w:abstractNumId w:val="11"/>
    <w:lvlOverride w:ilvl="0">
      <w:startOverride w:val="14"/>
    </w:lvlOverride>
  </w:num>
  <w:num w:numId="19">
    <w:abstractNumId w:val="6"/>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235E4-D156-4A0C-B69A-D8458E91F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2550</Words>
  <Characters>14399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2019-06-11T19:25:00Z</cp:lastPrinted>
  <dcterms:created xsi:type="dcterms:W3CDTF">2019-06-17T12:01:00Z</dcterms:created>
  <dcterms:modified xsi:type="dcterms:W3CDTF">2019-06-17T12:10:00Z</dcterms:modified>
</cp:coreProperties>
</file>