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8A0986">
        <w:rPr>
          <w:rFonts w:ascii="Arial" w:hAnsi="Arial" w:cs="Arial"/>
          <w:b/>
          <w:sz w:val="16"/>
          <w:szCs w:val="16"/>
        </w:rPr>
        <w:t>091</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8A0986">
        <w:rPr>
          <w:rFonts w:ascii="Arial" w:hAnsi="Arial" w:cs="Arial"/>
          <w:b/>
          <w:bCs/>
          <w:sz w:val="16"/>
          <w:szCs w:val="16"/>
        </w:rPr>
        <w:t>494</w:t>
      </w:r>
      <w:r w:rsidR="00512C8F">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512C8F">
        <w:rPr>
          <w:rFonts w:ascii="Arial" w:hAnsi="Arial" w:cs="Arial"/>
          <w:b/>
          <w:bCs/>
          <w:sz w:val="16"/>
          <w:szCs w:val="16"/>
        </w:rPr>
        <w:t xml:space="preserve"> Nº 0036.005086/2017-14</w:t>
      </w:r>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para futura e eventual aquisição de material de consumo, sacos plásticos e bobinas de sacos plásticos para atender as necessidades do Hospital Estadual e Pronto Socorro João Paulo - II e da Assistência Médica Intensiva – AMI</w:t>
      </w:r>
      <w:r w:rsidR="00A212A5" w:rsidRPr="00512C8F">
        <w:rPr>
          <w:rFonts w:ascii="Arial" w:hAnsi="Arial" w:cs="Arial"/>
          <w:color w:val="000000" w:themeColor="text1"/>
          <w:sz w:val="16"/>
          <w:szCs w:val="16"/>
        </w:rPr>
        <w:t xml:space="preserve">, </w:t>
      </w:r>
      <w:r w:rsidR="00512C8F" w:rsidRPr="00512C8F">
        <w:rPr>
          <w:rFonts w:ascii="Arial" w:hAnsi="Arial" w:cs="Arial"/>
          <w:color w:val="000000" w:themeColor="text1"/>
          <w:sz w:val="16"/>
          <w:szCs w:val="16"/>
        </w:rPr>
        <w:t xml:space="preserve">a pedido da Secretaria Estadual de Saúde – SESAU, </w:t>
      </w:r>
      <w:r w:rsidR="00A212A5" w:rsidRPr="00512C8F">
        <w:rPr>
          <w:rFonts w:ascii="Arial" w:hAnsi="Arial" w:cs="Arial"/>
          <w:color w:val="000000" w:themeColor="text1"/>
          <w:sz w:val="16"/>
          <w:szCs w:val="16"/>
        </w:rPr>
        <w:t xml:space="preserve">conforme especificação completa no Termo de Referência – Anexo I deste Edital </w:t>
      </w:r>
      <w:r w:rsidRPr="00512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D723A" w:rsidRDefault="002E300A" w:rsidP="008C7613">
      <w:pPr>
        <w:jc w:val="both"/>
        <w:rPr>
          <w:rFonts w:ascii="Arial" w:hAnsi="Arial" w:cs="Arial"/>
          <w:color w:val="000000" w:themeColor="text1"/>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512C8F" w:rsidRPr="00512C8F">
        <w:rPr>
          <w:rFonts w:ascii="Arial" w:hAnsi="Arial" w:cs="Arial"/>
          <w:color w:val="000000"/>
          <w:sz w:val="16"/>
          <w:szCs w:val="16"/>
        </w:rPr>
        <w:t>para futura e eventual aquisição de material de consumo, sacos plásticos e bobinas de sacos plásticos para atender as necessidades do Hospital Estadual e Pronto Socorro João Paulo - II e da Assistência Médica Intensiva – AMI</w:t>
      </w:r>
      <w:r w:rsidR="00512C8F" w:rsidRPr="00512C8F">
        <w:rPr>
          <w:rFonts w:ascii="Arial" w:hAnsi="Arial" w:cs="Arial"/>
          <w:color w:val="000000" w:themeColor="text1"/>
          <w:sz w:val="16"/>
          <w:szCs w:val="16"/>
        </w:rPr>
        <w:t>, a pedido da Secret</w:t>
      </w:r>
      <w:r w:rsidR="00B67939">
        <w:rPr>
          <w:rFonts w:ascii="Arial" w:hAnsi="Arial" w:cs="Arial"/>
          <w:color w:val="000000" w:themeColor="text1"/>
          <w:sz w:val="16"/>
          <w:szCs w:val="16"/>
        </w:rPr>
        <w:t>aria Estadual de Saúde – SESAU.</w:t>
      </w:r>
    </w:p>
    <w:p w:rsidR="00B67939"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bookmarkStart w:id="1" w:name="_GoBack"/>
      <w:bookmarkEnd w:id="1"/>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12C8F" w:rsidRPr="00512C8F" w:rsidRDefault="00206244" w:rsidP="00512C8F">
      <w:pPr>
        <w:ind w:right="120"/>
        <w:rPr>
          <w:rFonts w:ascii="Arial" w:hAnsi="Arial" w:cs="Arial"/>
          <w:color w:val="000000"/>
          <w:sz w:val="16"/>
          <w:szCs w:val="16"/>
        </w:rPr>
      </w:pPr>
      <w:r w:rsidRPr="00512C8F">
        <w:rPr>
          <w:rFonts w:ascii="Arial" w:hAnsi="Arial" w:cs="Arial"/>
          <w:b/>
          <w:sz w:val="16"/>
          <w:szCs w:val="16"/>
        </w:rPr>
        <w:t>6.3.</w:t>
      </w:r>
      <w:r w:rsidRPr="00512C8F">
        <w:rPr>
          <w:rFonts w:ascii="Arial" w:hAnsi="Arial" w:cs="Arial"/>
          <w:sz w:val="16"/>
          <w:szCs w:val="16"/>
        </w:rPr>
        <w:t xml:space="preserve"> </w:t>
      </w:r>
      <w:r w:rsidRPr="00512C8F">
        <w:rPr>
          <w:rFonts w:ascii="Arial" w:hAnsi="Arial" w:cs="Arial"/>
          <w:b/>
          <w:sz w:val="16"/>
          <w:szCs w:val="16"/>
        </w:rPr>
        <w:t>DO PRAZO DE ENTREGA:</w:t>
      </w:r>
      <w:r w:rsidRPr="00512C8F">
        <w:rPr>
          <w:rFonts w:ascii="Arial" w:hAnsi="Arial" w:cs="Arial"/>
          <w:color w:val="000000" w:themeColor="text1"/>
          <w:sz w:val="16"/>
          <w:szCs w:val="16"/>
        </w:rPr>
        <w:t xml:space="preserve"> </w:t>
      </w:r>
      <w:r w:rsidR="00512C8F" w:rsidRPr="00512C8F">
        <w:rPr>
          <w:rFonts w:ascii="Arial" w:hAnsi="Arial" w:cs="Arial"/>
          <w:color w:val="000000"/>
          <w:sz w:val="16"/>
          <w:szCs w:val="16"/>
        </w:rPr>
        <w:t>O prazo para entrega será de até 30 (trinta) dias após o recebimento da Nota de Empenho.</w:t>
      </w:r>
    </w:p>
    <w:p w:rsidR="00512C8F" w:rsidRPr="00512C8F" w:rsidRDefault="00206244" w:rsidP="00512C8F">
      <w:pPr>
        <w:jc w:val="both"/>
        <w:rPr>
          <w:rFonts w:ascii="Arial" w:hAnsi="Arial" w:cs="Arial"/>
          <w:color w:val="000000"/>
          <w:sz w:val="16"/>
          <w:szCs w:val="16"/>
        </w:rPr>
      </w:pPr>
      <w:r w:rsidRPr="00512C8F">
        <w:rPr>
          <w:rFonts w:ascii="Arial" w:hAnsi="Arial" w:cs="Arial"/>
          <w:b/>
          <w:sz w:val="16"/>
          <w:szCs w:val="16"/>
        </w:rPr>
        <w:t>6.4.</w:t>
      </w:r>
      <w:r w:rsidRPr="00512C8F">
        <w:rPr>
          <w:rFonts w:ascii="Arial" w:hAnsi="Arial" w:cs="Arial"/>
          <w:sz w:val="16"/>
          <w:szCs w:val="16"/>
        </w:rPr>
        <w:t xml:space="preserve"> </w:t>
      </w:r>
      <w:r w:rsidRPr="00512C8F">
        <w:rPr>
          <w:rFonts w:ascii="Arial" w:hAnsi="Arial" w:cs="Arial"/>
          <w:b/>
          <w:sz w:val="16"/>
          <w:szCs w:val="16"/>
        </w:rPr>
        <w:t>DO LOCAL DE ENTREGA:</w:t>
      </w:r>
      <w:r w:rsidRPr="00512C8F">
        <w:rPr>
          <w:rFonts w:ascii="Arial" w:hAnsi="Arial" w:cs="Arial"/>
          <w:sz w:val="16"/>
          <w:szCs w:val="16"/>
        </w:rPr>
        <w:t xml:space="preserve"> </w:t>
      </w:r>
      <w:r w:rsidR="00152544" w:rsidRPr="00152544">
        <w:rPr>
          <w:rFonts w:ascii="Arial" w:hAnsi="Arial" w:cs="Arial"/>
          <w:color w:val="000000"/>
          <w:sz w:val="16"/>
          <w:szCs w:val="16"/>
        </w:rPr>
        <w:t xml:space="preserve">Os materiais deverão ser entregues na Coordenação de Almoxarifado e Patrimônio – CAP/SESAU, no endereço: Rua Aparício de Moraes, 4348 – Bairro Industrial – </w:t>
      </w:r>
      <w:proofErr w:type="spellStart"/>
      <w:r w:rsidR="00152544" w:rsidRPr="00152544">
        <w:rPr>
          <w:rFonts w:ascii="Arial" w:hAnsi="Arial" w:cs="Arial"/>
          <w:color w:val="000000"/>
          <w:sz w:val="16"/>
          <w:szCs w:val="16"/>
        </w:rPr>
        <w:t>cep</w:t>
      </w:r>
      <w:proofErr w:type="spellEnd"/>
      <w:r w:rsidR="00152544" w:rsidRPr="00152544">
        <w:rPr>
          <w:rFonts w:ascii="Arial" w:hAnsi="Arial" w:cs="Arial"/>
          <w:color w:val="000000"/>
          <w:sz w:val="16"/>
          <w:szCs w:val="16"/>
        </w:rPr>
        <w:t>: 76.821- 240 - Porto Velho/RO, de Segunda a Sexta-Feira das 7h30min às 13h30min. Telefone: (69) 3216-5475 / 3216-2203.</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w:t>
      </w:r>
      <w:r w:rsidRPr="00512C8F">
        <w:rPr>
          <w:rFonts w:ascii="Arial" w:hAnsi="Arial" w:cs="Arial"/>
          <w:color w:val="000000"/>
          <w:sz w:val="16"/>
          <w:szCs w:val="16"/>
        </w:rPr>
        <w:t> Cobrança pelo Estado, por via administrativa ou judicial, de multa equivalente a 1% (um por cento) do valor estimado pelo item ofertado.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.2.</w:t>
      </w:r>
      <w:r w:rsidRPr="00512C8F">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lastRenderedPageBreak/>
        <w:t>9</w:t>
      </w:r>
      <w:r w:rsidRPr="00512C8F">
        <w:rPr>
          <w:rFonts w:ascii="Arial" w:hAnsi="Arial" w:cs="Arial"/>
          <w:b/>
          <w:bCs/>
          <w:color w:val="000000"/>
          <w:sz w:val="16"/>
          <w:szCs w:val="16"/>
        </w:rPr>
        <w:t>.3.</w:t>
      </w:r>
      <w:r w:rsidRPr="00512C8F">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.3.1.</w:t>
      </w:r>
      <w:r w:rsidRPr="00512C8F">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.3.2.</w:t>
      </w:r>
      <w:r w:rsidRPr="00512C8F">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.3.3.</w:t>
      </w:r>
      <w:r w:rsidRPr="00512C8F">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.3.4.</w:t>
      </w:r>
      <w:r w:rsidRPr="00512C8F">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.3.5</w:t>
      </w:r>
      <w:r w:rsidRPr="00512C8F">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.3.6.</w:t>
      </w:r>
      <w:r w:rsidRPr="00512C8F">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12C8F" w:rsidRPr="00512C8F" w:rsidRDefault="00512C8F" w:rsidP="00512C8F">
      <w:pPr>
        <w:ind w:right="120"/>
        <w:rPr>
          <w:rFonts w:ascii="Arial" w:hAnsi="Arial" w:cs="Arial"/>
          <w:b/>
          <w:bCs/>
          <w:color w:val="000000"/>
          <w:sz w:val="16"/>
          <w:szCs w:val="16"/>
        </w:rPr>
      </w:pPr>
    </w:p>
    <w:p w:rsid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.3.7. </w:t>
      </w:r>
      <w:r w:rsidRPr="00512C8F">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152544" w:rsidRPr="00512C8F" w:rsidRDefault="00152544" w:rsidP="00512C8F">
      <w:pPr>
        <w:ind w:right="120"/>
        <w:rPr>
          <w:rFonts w:ascii="Arial" w:hAnsi="Arial" w:cs="Arial"/>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.3.8.</w:t>
      </w:r>
      <w:r w:rsidRPr="00512C8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.3.9.</w:t>
      </w:r>
      <w:r w:rsidRPr="00512C8F">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.4.</w:t>
      </w:r>
      <w:r w:rsidRPr="00512C8F">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512C8F" w:rsidRPr="00152544" w:rsidRDefault="00512C8F" w:rsidP="00152544">
      <w:pPr>
        <w:pStyle w:val="PargrafodaLista"/>
        <w:numPr>
          <w:ilvl w:val="0"/>
          <w:numId w:val="43"/>
        </w:numPr>
        <w:ind w:right="120"/>
        <w:jc w:val="both"/>
        <w:rPr>
          <w:rFonts w:ascii="Arial" w:hAnsi="Arial" w:cs="Arial"/>
          <w:color w:val="000000"/>
          <w:sz w:val="16"/>
          <w:szCs w:val="16"/>
        </w:rPr>
      </w:pPr>
      <w:r w:rsidRPr="00152544">
        <w:rPr>
          <w:rFonts w:ascii="Arial" w:hAnsi="Arial" w:cs="Arial"/>
          <w:color w:val="000000"/>
          <w:sz w:val="16"/>
          <w:szCs w:val="16"/>
        </w:rPr>
        <w:t>Inexecução total ou parcial do contrato</w:t>
      </w:r>
    </w:p>
    <w:p w:rsidR="00512C8F" w:rsidRPr="00152544" w:rsidRDefault="00512C8F" w:rsidP="00152544">
      <w:pPr>
        <w:pStyle w:val="PargrafodaLista"/>
        <w:numPr>
          <w:ilvl w:val="0"/>
          <w:numId w:val="43"/>
        </w:numPr>
        <w:ind w:right="120"/>
        <w:jc w:val="both"/>
        <w:rPr>
          <w:rFonts w:ascii="Arial" w:hAnsi="Arial" w:cs="Arial"/>
          <w:color w:val="000000"/>
          <w:sz w:val="16"/>
          <w:szCs w:val="16"/>
        </w:rPr>
      </w:pPr>
      <w:r w:rsidRPr="00152544">
        <w:rPr>
          <w:rFonts w:ascii="Arial" w:hAnsi="Arial" w:cs="Arial"/>
          <w:color w:val="000000"/>
          <w:sz w:val="16"/>
          <w:szCs w:val="16"/>
        </w:rPr>
        <w:t>Apresentação de documentação falsa</w:t>
      </w:r>
    </w:p>
    <w:p w:rsidR="00512C8F" w:rsidRPr="00152544" w:rsidRDefault="00512C8F" w:rsidP="00152544">
      <w:pPr>
        <w:pStyle w:val="PargrafodaLista"/>
        <w:numPr>
          <w:ilvl w:val="0"/>
          <w:numId w:val="43"/>
        </w:numPr>
        <w:ind w:right="120"/>
        <w:jc w:val="both"/>
        <w:rPr>
          <w:rFonts w:ascii="Arial" w:hAnsi="Arial" w:cs="Arial"/>
          <w:color w:val="000000"/>
          <w:sz w:val="16"/>
          <w:szCs w:val="16"/>
        </w:rPr>
      </w:pPr>
      <w:r w:rsidRPr="00152544">
        <w:rPr>
          <w:rFonts w:ascii="Arial" w:hAnsi="Arial" w:cs="Arial"/>
          <w:color w:val="000000"/>
          <w:sz w:val="16"/>
          <w:szCs w:val="16"/>
        </w:rPr>
        <w:t>Comportamento inidôneo</w:t>
      </w:r>
    </w:p>
    <w:p w:rsidR="00512C8F" w:rsidRPr="00152544" w:rsidRDefault="00512C8F" w:rsidP="00152544">
      <w:pPr>
        <w:pStyle w:val="PargrafodaLista"/>
        <w:numPr>
          <w:ilvl w:val="0"/>
          <w:numId w:val="43"/>
        </w:numPr>
        <w:ind w:right="120"/>
        <w:jc w:val="both"/>
        <w:rPr>
          <w:rFonts w:ascii="Arial" w:hAnsi="Arial" w:cs="Arial"/>
          <w:color w:val="000000"/>
          <w:sz w:val="16"/>
          <w:szCs w:val="16"/>
        </w:rPr>
      </w:pPr>
      <w:r w:rsidRPr="00152544">
        <w:rPr>
          <w:rFonts w:ascii="Arial" w:hAnsi="Arial" w:cs="Arial"/>
          <w:color w:val="000000"/>
          <w:sz w:val="16"/>
          <w:szCs w:val="16"/>
        </w:rPr>
        <w:t>Fraude fiscal</w:t>
      </w:r>
    </w:p>
    <w:p w:rsidR="00512C8F" w:rsidRPr="00152544" w:rsidRDefault="00512C8F" w:rsidP="00152544">
      <w:pPr>
        <w:pStyle w:val="PargrafodaLista"/>
        <w:numPr>
          <w:ilvl w:val="0"/>
          <w:numId w:val="43"/>
        </w:numPr>
        <w:ind w:right="120"/>
        <w:jc w:val="both"/>
        <w:rPr>
          <w:rFonts w:ascii="Arial" w:hAnsi="Arial" w:cs="Arial"/>
          <w:color w:val="000000"/>
          <w:sz w:val="16"/>
          <w:szCs w:val="16"/>
        </w:rPr>
      </w:pPr>
      <w:r w:rsidRPr="00152544">
        <w:rPr>
          <w:rFonts w:ascii="Arial" w:hAnsi="Arial" w:cs="Arial"/>
          <w:color w:val="000000"/>
          <w:sz w:val="16"/>
          <w:szCs w:val="16"/>
        </w:rPr>
        <w:t>Descumprimento de qualquer dos deveres elencados no Edital ou no Contrato</w:t>
      </w:r>
    </w:p>
    <w:p w:rsidR="00512C8F" w:rsidRPr="00512C8F" w:rsidRDefault="00512C8F" w:rsidP="00512C8F">
      <w:pPr>
        <w:ind w:right="120"/>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.5.</w:t>
      </w:r>
      <w:r w:rsidRPr="00512C8F">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spacing w:before="120" w:after="120"/>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.6.</w:t>
      </w:r>
      <w:r w:rsidRPr="00512C8F">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w:t>
      </w:r>
    </w:p>
    <w:tbl>
      <w:tblPr>
        <w:tblW w:w="9087"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66"/>
        <w:gridCol w:w="3969"/>
        <w:gridCol w:w="1843"/>
        <w:gridCol w:w="2409"/>
      </w:tblGrid>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ITEM</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DESCRIÇÃO DA INFRAÇÃO</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rPr>
                <w:rFonts w:ascii="Arial" w:hAnsi="Arial" w:cs="Arial"/>
                <w:color w:val="000000"/>
                <w:sz w:val="16"/>
                <w:szCs w:val="16"/>
              </w:rPr>
            </w:pPr>
            <w:r w:rsidRPr="00512C8F">
              <w:rPr>
                <w:rFonts w:ascii="Arial" w:hAnsi="Arial" w:cs="Arial"/>
                <w:b/>
                <w:bCs/>
                <w:color w:val="000000"/>
                <w:sz w:val="16"/>
                <w:szCs w:val="16"/>
              </w:rPr>
              <w:t>GRAU</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MULTA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1</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xml:space="preserve">Permitir situação que crie a possibilidade ou cause </w:t>
            </w:r>
            <w:proofErr w:type="spellStart"/>
            <w:r w:rsidRPr="00512C8F">
              <w:rPr>
                <w:rFonts w:ascii="Arial" w:hAnsi="Arial" w:cs="Arial"/>
                <w:color w:val="000000"/>
                <w:sz w:val="16"/>
                <w:szCs w:val="16"/>
              </w:rPr>
              <w:t>dano</w:t>
            </w:r>
            <w:proofErr w:type="spellEnd"/>
            <w:r w:rsidRPr="00512C8F">
              <w:rPr>
                <w:rFonts w:ascii="Arial" w:hAnsi="Arial" w:cs="Arial"/>
                <w:color w:val="000000"/>
                <w:sz w:val="16"/>
                <w:szCs w:val="16"/>
              </w:rPr>
              <w:t xml:space="preserve"> físico, lesão corporal ou consequências letais;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06</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4,0%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2</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Suspender ou interromper, salvo por motivo de força maior ou caso fortuito, fornecimentos/serviços contratuais por dia e por unidade de atendimento;</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05</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3,2%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3</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Recusar-se entregar os bens/executar serviço determinado pela FISCALIZAÇÃO, sem motivo justificado;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1,6%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4</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5</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rPr>
                <w:rFonts w:ascii="Arial" w:hAnsi="Arial" w:cs="Arial"/>
                <w:color w:val="000000"/>
                <w:sz w:val="16"/>
                <w:szCs w:val="16"/>
              </w:rPr>
            </w:pPr>
            <w:r w:rsidRPr="00512C8F">
              <w:rPr>
                <w:rFonts w:ascii="Arial" w:hAnsi="Arial" w:cs="Arial"/>
                <w:color w:val="000000"/>
                <w:sz w:val="16"/>
                <w:szCs w:val="16"/>
              </w:rPr>
              <w:t>Fornecer informação pérfida de serviço ou substituição de material;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9087" w:type="dxa"/>
            <w:gridSpan w:val="4"/>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Para os itens a seguir, deixar de:</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lastRenderedPageBreak/>
              <w:t>6</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03</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0,8%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7</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Cumprir determinação formal ou instrução complementar da FISCALIZAÇÃO,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03</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0,8%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8</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Iniciar fornecimento/execução de serviço nos prazos estabelecidos, observados os limites mínimos estabelecidos,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0,4% por dia</w:t>
            </w:r>
          </w:p>
        </w:tc>
      </w:tr>
      <w:tr w:rsidR="00512C8F" w:rsidRPr="00512C8F" w:rsidTr="004769D8">
        <w:trPr>
          <w:tblCellSpacing w:w="0" w:type="dxa"/>
        </w:trPr>
        <w:tc>
          <w:tcPr>
            <w:tcW w:w="866"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9</w:t>
            </w:r>
          </w:p>
        </w:tc>
        <w:tc>
          <w:tcPr>
            <w:tcW w:w="396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Manter a documentação de habilitação atualizada; por item, por ocorrência.</w:t>
            </w:r>
          </w:p>
        </w:tc>
        <w:tc>
          <w:tcPr>
            <w:tcW w:w="1843"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01</w:t>
            </w:r>
          </w:p>
        </w:tc>
        <w:tc>
          <w:tcPr>
            <w:tcW w:w="2409" w:type="dxa"/>
            <w:tcBorders>
              <w:top w:val="outset" w:sz="6" w:space="0" w:color="auto"/>
              <w:left w:val="outset" w:sz="6" w:space="0" w:color="auto"/>
              <w:bottom w:val="outset" w:sz="6" w:space="0" w:color="auto"/>
              <w:right w:val="outset" w:sz="6" w:space="0" w:color="auto"/>
            </w:tcBorders>
            <w:vAlign w:val="center"/>
            <w:hideMark/>
          </w:tcPr>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b/>
                <w:bCs/>
                <w:color w:val="000000"/>
                <w:sz w:val="16"/>
                <w:szCs w:val="16"/>
              </w:rPr>
              <w:t>0,2% por dia</w:t>
            </w:r>
          </w:p>
        </w:tc>
      </w:tr>
    </w:tbl>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spacing w:before="120" w:after="120"/>
        <w:ind w:right="120"/>
        <w:rPr>
          <w:rFonts w:ascii="Arial" w:hAnsi="Arial" w:cs="Arial"/>
          <w:color w:val="000000"/>
          <w:sz w:val="16"/>
          <w:szCs w:val="16"/>
        </w:rPr>
      </w:pPr>
      <w:r w:rsidRPr="00512C8F">
        <w:rPr>
          <w:rFonts w:ascii="Arial" w:hAnsi="Arial" w:cs="Arial"/>
          <w:i/>
          <w:iCs/>
          <w:color w:val="000000"/>
          <w:sz w:val="16"/>
          <w:szCs w:val="16"/>
        </w:rPr>
        <w:t>* Incidente sobre a parte inadimplida do contrato.</w:t>
      </w:r>
    </w:p>
    <w:p w:rsidR="00512C8F" w:rsidRPr="00512C8F" w:rsidRDefault="00512C8F" w:rsidP="00512C8F">
      <w:pPr>
        <w:rPr>
          <w:rFonts w:ascii="Arial" w:hAnsi="Arial" w:cs="Arial"/>
          <w:color w:val="000000"/>
          <w:sz w:val="16"/>
          <w:szCs w:val="16"/>
        </w:rPr>
      </w:pPr>
      <w:r w:rsidRPr="00512C8F">
        <w:rPr>
          <w:rFonts w:ascii="Arial" w:hAnsi="Arial" w:cs="Arial"/>
          <w:color w:val="000000"/>
          <w:sz w:val="16"/>
          <w:szCs w:val="16"/>
        </w:rPr>
        <w:t> </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.7.</w:t>
      </w:r>
      <w:r w:rsidRPr="00512C8F">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.8.</w:t>
      </w:r>
      <w:r w:rsidRPr="00512C8F">
        <w:rPr>
          <w:rFonts w:ascii="Arial" w:hAnsi="Arial" w:cs="Arial"/>
          <w:color w:val="000000"/>
          <w:sz w:val="16"/>
          <w:szCs w:val="16"/>
        </w:rPr>
        <w:t> Após 30 (trinta) dias da falta de execução do objeto, será considerada inexecução total do contrato, o que ensejará a rescisão contratual.</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.9.</w:t>
      </w:r>
      <w:r w:rsidRPr="00512C8F">
        <w:rPr>
          <w:rFonts w:ascii="Arial" w:hAnsi="Arial" w:cs="Arial"/>
          <w:color w:val="000000"/>
          <w:sz w:val="16"/>
          <w:szCs w:val="16"/>
        </w:rPr>
        <w:t xml:space="preserve"> As sanções de natureza pecuniária serão diretamente descontadas de créditos que eventualmente detenha a </w:t>
      </w:r>
      <w:proofErr w:type="spellStart"/>
      <w:r w:rsidRPr="00512C8F">
        <w:rPr>
          <w:rFonts w:ascii="Arial" w:hAnsi="Arial" w:cs="Arial"/>
          <w:color w:val="000000"/>
          <w:sz w:val="16"/>
          <w:szCs w:val="16"/>
        </w:rPr>
        <w:t>CONTRATADAou</w:t>
      </w:r>
      <w:proofErr w:type="spellEnd"/>
      <w:r w:rsidRPr="00512C8F">
        <w:rPr>
          <w:rFonts w:ascii="Arial" w:hAnsi="Arial" w:cs="Arial"/>
          <w:color w:val="000000"/>
          <w:sz w:val="16"/>
          <w:szCs w:val="16"/>
        </w:rPr>
        <w:t xml:space="preserve"> efetuada a sua cobrança na forma prevista em lei.</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.10.</w:t>
      </w:r>
      <w:r w:rsidRPr="00512C8F">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.11.</w:t>
      </w:r>
      <w:r w:rsidRPr="00512C8F">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.12.</w:t>
      </w:r>
      <w:r w:rsidRPr="00512C8F">
        <w:rPr>
          <w:rFonts w:ascii="Arial" w:hAnsi="Arial" w:cs="Arial"/>
          <w:color w:val="000000"/>
          <w:sz w:val="16"/>
          <w:szCs w:val="16"/>
        </w:rPr>
        <w:t> A sanção será obrigatoriamente registrada no Sistema de Cadastramento Unificado de Fornecedores – SICAF, bem como em sistemas Estaduais.</w:t>
      </w:r>
    </w:p>
    <w:p w:rsidR="00512C8F" w:rsidRPr="00512C8F" w:rsidRDefault="00512C8F" w:rsidP="00512C8F">
      <w:pPr>
        <w:ind w:right="120"/>
        <w:rPr>
          <w:rFonts w:ascii="Arial" w:hAnsi="Arial" w:cs="Arial"/>
          <w:b/>
          <w:bCs/>
          <w:color w:val="000000"/>
          <w:sz w:val="16"/>
          <w:szCs w:val="16"/>
        </w:rPr>
      </w:pPr>
    </w:p>
    <w:p w:rsidR="00512C8F" w:rsidRPr="00512C8F" w:rsidRDefault="00512C8F" w:rsidP="00512C8F">
      <w:pPr>
        <w:ind w:right="120"/>
        <w:rPr>
          <w:rFonts w:ascii="Arial" w:hAnsi="Arial" w:cs="Arial"/>
          <w:color w:val="000000"/>
          <w:sz w:val="16"/>
          <w:szCs w:val="16"/>
        </w:rPr>
      </w:pPr>
      <w:r>
        <w:rPr>
          <w:rFonts w:ascii="Arial" w:hAnsi="Arial" w:cs="Arial"/>
          <w:b/>
          <w:bCs/>
          <w:color w:val="000000"/>
          <w:sz w:val="16"/>
          <w:szCs w:val="16"/>
        </w:rPr>
        <w:t>9</w:t>
      </w:r>
      <w:r w:rsidRPr="00512C8F">
        <w:rPr>
          <w:rFonts w:ascii="Arial" w:hAnsi="Arial" w:cs="Arial"/>
          <w:b/>
          <w:bCs/>
          <w:color w:val="000000"/>
          <w:sz w:val="16"/>
          <w:szCs w:val="16"/>
        </w:rPr>
        <w:t>.13.</w:t>
      </w:r>
      <w:r w:rsidRPr="00512C8F">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a) </w:t>
      </w:r>
      <w:r w:rsidRPr="00512C8F">
        <w:rPr>
          <w:rFonts w:ascii="Arial" w:hAnsi="Arial" w:cs="Arial"/>
          <w:color w:val="000000"/>
          <w:sz w:val="16"/>
          <w:szCs w:val="16"/>
        </w:rPr>
        <w:t>Tenham sofrido condenações definitivas por praticarem, por meio dolosos, fraude fiscal no recolhimento de tributos;</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b) </w:t>
      </w:r>
      <w:r w:rsidRPr="00512C8F">
        <w:rPr>
          <w:rFonts w:ascii="Arial" w:hAnsi="Arial" w:cs="Arial"/>
          <w:color w:val="000000"/>
          <w:sz w:val="16"/>
          <w:szCs w:val="16"/>
        </w:rPr>
        <w:t>Tenham praticado atos ilícitos visando a frustrar os objetivos da licitação;</w:t>
      </w:r>
    </w:p>
    <w:p w:rsidR="00512C8F" w:rsidRPr="00512C8F" w:rsidRDefault="00512C8F" w:rsidP="00512C8F">
      <w:pPr>
        <w:ind w:right="120"/>
        <w:rPr>
          <w:rFonts w:ascii="Arial" w:hAnsi="Arial" w:cs="Arial"/>
          <w:color w:val="000000"/>
          <w:sz w:val="16"/>
          <w:szCs w:val="16"/>
        </w:rPr>
      </w:pPr>
      <w:r w:rsidRPr="00512C8F">
        <w:rPr>
          <w:rFonts w:ascii="Arial" w:hAnsi="Arial" w:cs="Arial"/>
          <w:b/>
          <w:bCs/>
          <w:color w:val="000000"/>
          <w:sz w:val="16"/>
          <w:szCs w:val="16"/>
        </w:rPr>
        <w:t>c)</w:t>
      </w:r>
      <w:r w:rsidRPr="00512C8F">
        <w:rPr>
          <w:rFonts w:ascii="Arial" w:hAnsi="Arial" w:cs="Arial"/>
          <w:color w:val="000000"/>
          <w:sz w:val="16"/>
          <w:szCs w:val="16"/>
        </w:rPr>
        <w:t> Demonstrem não possuir idoneidade para contratar com a Administração em virtude de atos ilícitos praticados.</w:t>
      </w:r>
    </w:p>
    <w:p w:rsidR="002069DE" w:rsidRPr="00206244" w:rsidRDefault="002069DE" w:rsidP="00512C8F">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4B06F5">
        <w:rPr>
          <w:rFonts w:ascii="Arial" w:hAnsi="Arial" w:cs="Arial"/>
          <w:b/>
          <w:bCs/>
          <w:color w:val="000000"/>
          <w:sz w:val="16"/>
          <w:szCs w:val="16"/>
        </w:rPr>
        <w:t>SUÉLEN TORRES DA SILVA</w:t>
      </w:r>
      <w:r w:rsidR="004B06F5">
        <w:rPr>
          <w:rFonts w:ascii="Arial" w:hAnsi="Arial" w:cs="Arial"/>
          <w:b/>
          <w:bCs/>
          <w:color w:val="000000"/>
          <w:sz w:val="16"/>
          <w:szCs w:val="16"/>
        </w:rPr>
        <w:tab/>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4B06F5">
        <w:rPr>
          <w:rFonts w:ascii="Arial" w:hAnsi="Arial" w:cs="Arial"/>
          <w:bCs/>
          <w:color w:val="000000"/>
          <w:sz w:val="16"/>
          <w:szCs w:val="16"/>
        </w:rPr>
        <w:t xml:space="preserve"> Interina</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B06F5"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3B5E45"/>
    <w:multiLevelType w:val="multilevel"/>
    <w:tmpl w:val="D3AE60A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40"/>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2"/>
  </w:num>
  <w:num w:numId="26">
    <w:abstractNumId w:val="20"/>
  </w:num>
  <w:num w:numId="27">
    <w:abstractNumId w:val="16"/>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7"/>
  </w:num>
  <w:num w:numId="35">
    <w:abstractNumId w:val="34"/>
  </w:num>
  <w:num w:numId="36">
    <w:abstractNumId w:val="18"/>
  </w:num>
  <w:num w:numId="37">
    <w:abstractNumId w:val="2"/>
  </w:num>
  <w:num w:numId="38">
    <w:abstractNumId w:val="41"/>
  </w:num>
  <w:num w:numId="39">
    <w:abstractNumId w:val="7"/>
  </w:num>
  <w:num w:numId="40">
    <w:abstractNumId w:val="19"/>
  </w:num>
  <w:num w:numId="41">
    <w:abstractNumId w:val="43"/>
  </w:num>
  <w:num w:numId="42">
    <w:abstractNumId w:val="21"/>
  </w:num>
  <w:num w:numId="43">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06F5"/>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590D48-319D-4A7F-AEC8-57FA2B06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3220</Words>
  <Characters>18129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2019-04-16T14:34:00Z</cp:lastPrinted>
  <dcterms:created xsi:type="dcterms:W3CDTF">2018-04-25T12:31:00Z</dcterms:created>
  <dcterms:modified xsi:type="dcterms:W3CDTF">2019-04-17T15:24:00Z</dcterms:modified>
</cp:coreProperties>
</file>