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bookmarkStart w:id="1" w:name="_GoBack"/>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425C72">
        <w:rPr>
          <w:rFonts w:ascii="Arial" w:hAnsi="Arial" w:cs="Arial"/>
          <w:b/>
          <w:sz w:val="16"/>
          <w:szCs w:val="16"/>
        </w:rPr>
        <w:t>001</w:t>
      </w:r>
      <w:r w:rsidR="00CF6980">
        <w:rPr>
          <w:rFonts w:ascii="Arial" w:hAnsi="Arial" w:cs="Arial"/>
          <w:b/>
          <w:sz w:val="16"/>
          <w:szCs w:val="16"/>
        </w:rPr>
        <w:t>/</w:t>
      </w:r>
      <w:r w:rsidR="00300900">
        <w:rPr>
          <w:rFonts w:ascii="Arial" w:hAnsi="Arial" w:cs="Arial"/>
          <w:b/>
          <w:sz w:val="16"/>
          <w:szCs w:val="16"/>
        </w:rPr>
        <w:t>201</w:t>
      </w:r>
      <w:r w:rsidR="00425C72">
        <w:rPr>
          <w:rFonts w:ascii="Arial" w:hAnsi="Arial" w:cs="Arial"/>
          <w:b/>
          <w:sz w:val="16"/>
          <w:szCs w:val="16"/>
        </w:rPr>
        <w:t>9</w:t>
      </w:r>
    </w:p>
    <w:p w:rsidR="009D2314" w:rsidRPr="00214276" w:rsidRDefault="009D2314" w:rsidP="00D63062">
      <w:pPr>
        <w:tabs>
          <w:tab w:val="left" w:pos="3122"/>
        </w:tabs>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25C72">
        <w:rPr>
          <w:rFonts w:ascii="Arial" w:hAnsi="Arial" w:cs="Arial"/>
          <w:b/>
          <w:bCs/>
          <w:sz w:val="16"/>
          <w:szCs w:val="16"/>
        </w:rPr>
        <w:t>449</w:t>
      </w:r>
      <w:r w:rsidR="005925DA">
        <w:rPr>
          <w:rFonts w:ascii="Arial" w:hAnsi="Arial" w:cs="Arial"/>
          <w:b/>
          <w:bCs/>
          <w:sz w:val="16"/>
          <w:szCs w:val="16"/>
        </w:rPr>
        <w:t>/201</w:t>
      </w:r>
      <w:r w:rsidR="00D63062">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D63062">
        <w:rPr>
          <w:rFonts w:ascii="Arial" w:hAnsi="Arial" w:cs="Arial"/>
          <w:b/>
          <w:bCs/>
          <w:sz w:val="16"/>
          <w:szCs w:val="16"/>
        </w:rPr>
        <w:t xml:space="preserve">Nº </w:t>
      </w:r>
      <w:r w:rsidR="00425C72">
        <w:rPr>
          <w:rFonts w:ascii="Arial" w:hAnsi="Arial" w:cs="Arial"/>
          <w:b/>
          <w:bCs/>
          <w:sz w:val="16"/>
          <w:szCs w:val="16"/>
        </w:rPr>
        <w:t>0029.220949/2018-43</w:t>
      </w:r>
      <w:hyperlink r:id="rId9" w:tgtFrame="ifrVisualizacao" w:history="1"/>
    </w:p>
    <w:p w:rsidR="00145D13" w:rsidRPr="009D74B3" w:rsidRDefault="00145D13" w:rsidP="009D2314">
      <w:pPr>
        <w:jc w:val="both"/>
        <w:rPr>
          <w:rFonts w:ascii="Arial" w:hAnsi="Arial" w:cs="Arial"/>
          <w:b/>
          <w:bCs/>
          <w:sz w:val="16"/>
          <w:szCs w:val="16"/>
        </w:rPr>
      </w:pPr>
    </w:p>
    <w:p w:rsidR="009D2314" w:rsidRPr="00E8286B" w:rsidRDefault="002E300A" w:rsidP="006E083C">
      <w:pPr>
        <w:ind w:right="-1"/>
        <w:jc w:val="both"/>
        <w:rPr>
          <w:rFonts w:ascii="Arial" w:hAnsi="Arial" w:cs="Arial"/>
          <w:sz w:val="16"/>
          <w:szCs w:val="16"/>
        </w:rPr>
      </w:pPr>
      <w:r w:rsidRPr="00E8286B">
        <w:rPr>
          <w:rFonts w:ascii="Arial" w:hAnsi="Arial" w:cs="Arial"/>
          <w:sz w:val="16"/>
          <w:szCs w:val="16"/>
        </w:rPr>
        <w:t xml:space="preserve">Pelo presente instrumento, o </w:t>
      </w:r>
      <w:r w:rsidR="00190648" w:rsidRPr="00E8286B">
        <w:rPr>
          <w:rFonts w:ascii="Arial" w:hAnsi="Arial" w:cs="Arial"/>
          <w:b/>
          <w:sz w:val="16"/>
          <w:szCs w:val="16"/>
        </w:rPr>
        <w:t>ESTADO DE RONDÔNIA</w:t>
      </w:r>
      <w:r w:rsidRPr="00E8286B">
        <w:rPr>
          <w:rFonts w:ascii="Arial" w:hAnsi="Arial" w:cs="Arial"/>
          <w:sz w:val="16"/>
          <w:szCs w:val="16"/>
        </w:rPr>
        <w:t>, através da SUPERINTENDÊNCIA ESTADUAL DE LICITAÇÕES – SUPEL situada à AV. FARQUAR N° 2986 COMPLEXO RIO MADEIRA EDIFÍCIO</w:t>
      </w:r>
      <w:r w:rsidR="00624815" w:rsidRPr="00E8286B">
        <w:rPr>
          <w:rFonts w:ascii="Arial" w:hAnsi="Arial" w:cs="Arial"/>
          <w:sz w:val="16"/>
          <w:szCs w:val="16"/>
        </w:rPr>
        <w:t xml:space="preserve">, </w:t>
      </w:r>
      <w:r w:rsidRPr="00E8286B">
        <w:rPr>
          <w:rFonts w:ascii="Arial" w:hAnsi="Arial" w:cs="Arial"/>
          <w:sz w:val="16"/>
          <w:szCs w:val="16"/>
        </w:rPr>
        <w:t xml:space="preserve">RIO </w:t>
      </w:r>
      <w:r w:rsidR="00DE2D9B" w:rsidRPr="00E8286B">
        <w:rPr>
          <w:rFonts w:ascii="Arial" w:hAnsi="Arial" w:cs="Arial"/>
          <w:sz w:val="16"/>
          <w:szCs w:val="16"/>
        </w:rPr>
        <w:t>PACAÁS NOVOS 2</w:t>
      </w:r>
      <w:r w:rsidRPr="00E8286B">
        <w:rPr>
          <w:rFonts w:ascii="Arial" w:hAnsi="Arial" w:cs="Arial"/>
          <w:sz w:val="16"/>
          <w:szCs w:val="16"/>
        </w:rPr>
        <w:t>º ANDAR – BAIRRO: PEDRINHAS, neste ato representado pelo Superintendente da SUPEL, Senhor Márcio Rogério Gabriel e a(s) empresa(s) qualificada(s) no</w:t>
      </w:r>
      <w:r w:rsidR="00190648" w:rsidRPr="00E8286B">
        <w:rPr>
          <w:rFonts w:ascii="Arial" w:hAnsi="Arial" w:cs="Arial"/>
          <w:sz w:val="16"/>
          <w:szCs w:val="16"/>
        </w:rPr>
        <w:t xml:space="preserve"> Anexo Único desta Ata, resolvem</w:t>
      </w:r>
      <w:r w:rsidRPr="00E8286B">
        <w:rPr>
          <w:rFonts w:ascii="Arial" w:hAnsi="Arial" w:cs="Arial"/>
          <w:sz w:val="16"/>
          <w:szCs w:val="16"/>
        </w:rPr>
        <w:t xml:space="preserve"> </w:t>
      </w:r>
      <w:r w:rsidRPr="00E8286B">
        <w:rPr>
          <w:rFonts w:ascii="Arial" w:hAnsi="Arial" w:cs="Arial"/>
          <w:b/>
          <w:sz w:val="16"/>
          <w:szCs w:val="16"/>
        </w:rPr>
        <w:t>REGISTRAR</w:t>
      </w:r>
      <w:r w:rsidRPr="00E8286B">
        <w:rPr>
          <w:rFonts w:ascii="Arial" w:hAnsi="Arial" w:cs="Arial"/>
          <w:sz w:val="16"/>
          <w:szCs w:val="16"/>
        </w:rPr>
        <w:t xml:space="preserve"> </w:t>
      </w:r>
      <w:r w:rsidRPr="00E8286B">
        <w:rPr>
          <w:rFonts w:ascii="Arial" w:hAnsi="Arial" w:cs="Arial"/>
          <w:b/>
          <w:sz w:val="16"/>
          <w:szCs w:val="16"/>
        </w:rPr>
        <w:t>O</w:t>
      </w:r>
      <w:r w:rsidRPr="00E8286B">
        <w:rPr>
          <w:rFonts w:ascii="Arial" w:hAnsi="Arial" w:cs="Arial"/>
          <w:sz w:val="16"/>
          <w:szCs w:val="16"/>
        </w:rPr>
        <w:t xml:space="preserve"> </w:t>
      </w:r>
      <w:r w:rsidRPr="00E8286B">
        <w:rPr>
          <w:rFonts w:ascii="Arial" w:hAnsi="Arial" w:cs="Arial"/>
          <w:b/>
          <w:sz w:val="16"/>
          <w:szCs w:val="16"/>
        </w:rPr>
        <w:t>PREÇ</w:t>
      </w:r>
      <w:r w:rsidR="00F17DD3" w:rsidRPr="00E8286B">
        <w:rPr>
          <w:rFonts w:ascii="Arial" w:hAnsi="Arial" w:cs="Arial"/>
          <w:b/>
          <w:sz w:val="16"/>
          <w:szCs w:val="16"/>
        </w:rPr>
        <w:t>O</w:t>
      </w:r>
      <w:r w:rsidR="00EC488E" w:rsidRPr="00E8286B">
        <w:rPr>
          <w:rFonts w:ascii="Arial" w:hAnsi="Arial" w:cs="Arial"/>
          <w:b/>
          <w:sz w:val="16"/>
          <w:szCs w:val="16"/>
        </w:rPr>
        <w:t xml:space="preserve"> </w:t>
      </w:r>
      <w:r w:rsidR="00FF40F2" w:rsidRPr="00E8286B">
        <w:rPr>
          <w:rFonts w:ascii="Arial" w:hAnsi="Arial" w:cs="Arial"/>
          <w:sz w:val="16"/>
          <w:szCs w:val="16"/>
        </w:rPr>
        <w:t xml:space="preserve">para futura e eventual </w:t>
      </w:r>
      <w:r w:rsidR="00BF2F95">
        <w:rPr>
          <w:rFonts w:ascii="Arial" w:hAnsi="Arial" w:cs="Arial"/>
          <w:sz w:val="16"/>
          <w:szCs w:val="16"/>
        </w:rPr>
        <w:t>a</w:t>
      </w:r>
      <w:r w:rsidR="00BF2F95" w:rsidRPr="00BF2F95">
        <w:rPr>
          <w:rFonts w:ascii="Arial" w:hAnsi="Arial" w:cs="Arial"/>
          <w:sz w:val="16"/>
          <w:szCs w:val="16"/>
        </w:rPr>
        <w:t>quisição de Material de Permanente (Equipamento de Cozinha)</w:t>
      </w:r>
      <w:r w:rsidR="00D63062" w:rsidRPr="00BF2F95">
        <w:rPr>
          <w:rFonts w:ascii="Arial" w:hAnsi="Arial" w:cs="Arial"/>
          <w:b/>
          <w:bCs/>
          <w:sz w:val="16"/>
          <w:szCs w:val="16"/>
        </w:rPr>
        <w:t>,</w:t>
      </w:r>
      <w:r w:rsidR="00D63062" w:rsidRPr="00BF2F95">
        <w:t xml:space="preserve"> </w:t>
      </w:r>
      <w:r w:rsidR="00FF40F2" w:rsidRPr="00E8286B">
        <w:rPr>
          <w:rFonts w:ascii="Arial" w:hAnsi="Arial" w:cs="Arial"/>
          <w:sz w:val="16"/>
          <w:szCs w:val="16"/>
        </w:rPr>
        <w:t xml:space="preserve">a pedido </w:t>
      </w:r>
      <w:r w:rsidR="00E8286B" w:rsidRPr="00E8286B">
        <w:rPr>
          <w:rFonts w:ascii="Arial" w:hAnsi="Arial" w:cs="Arial"/>
          <w:sz w:val="16"/>
          <w:szCs w:val="16"/>
        </w:rPr>
        <w:t xml:space="preserve">da Secretaria de </w:t>
      </w:r>
      <w:r w:rsidR="00FF40F2" w:rsidRPr="00E8286B">
        <w:rPr>
          <w:rFonts w:ascii="Arial" w:hAnsi="Arial" w:cs="Arial"/>
          <w:sz w:val="16"/>
          <w:szCs w:val="16"/>
        </w:rPr>
        <w:t xml:space="preserve">Estado da </w:t>
      </w:r>
      <w:r w:rsidR="00E8286B" w:rsidRPr="00E8286B">
        <w:rPr>
          <w:rFonts w:ascii="Arial" w:hAnsi="Arial" w:cs="Arial"/>
          <w:sz w:val="16"/>
          <w:szCs w:val="16"/>
        </w:rPr>
        <w:t>Educação</w:t>
      </w:r>
      <w:r w:rsidR="00FF40F2" w:rsidRPr="00E8286B">
        <w:rPr>
          <w:rFonts w:ascii="Arial" w:hAnsi="Arial" w:cs="Arial"/>
          <w:sz w:val="16"/>
          <w:szCs w:val="16"/>
        </w:rPr>
        <w:t xml:space="preserve"> – SE</w:t>
      </w:r>
      <w:r w:rsidR="00E8286B" w:rsidRPr="00E8286B">
        <w:rPr>
          <w:rFonts w:ascii="Arial" w:hAnsi="Arial" w:cs="Arial"/>
          <w:sz w:val="16"/>
          <w:szCs w:val="16"/>
        </w:rPr>
        <w:t>DUC</w:t>
      </w:r>
      <w:r w:rsidR="008F6F35" w:rsidRPr="00E8286B">
        <w:rPr>
          <w:rFonts w:ascii="Arial" w:hAnsi="Arial" w:cs="Arial"/>
          <w:sz w:val="16"/>
          <w:szCs w:val="16"/>
        </w:rPr>
        <w:t>, atendendo</w:t>
      </w:r>
      <w:r w:rsidRPr="00E8286B">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E8286B">
        <w:rPr>
          <w:rFonts w:ascii="Arial" w:hAnsi="Arial" w:cs="Arial"/>
          <w:sz w:val="16"/>
          <w:szCs w:val="16"/>
        </w:rPr>
        <w:t>8.340/13</w:t>
      </w:r>
      <w:r w:rsidRPr="00E8286B">
        <w:rPr>
          <w:rFonts w:ascii="Arial" w:hAnsi="Arial" w:cs="Arial"/>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180C30" w:rsidRDefault="00180C30" w:rsidP="002A3A4D">
      <w:pPr>
        <w:rPr>
          <w:rFonts w:ascii="Arial" w:hAnsi="Arial" w:cs="Arial"/>
          <w:color w:val="000000"/>
          <w:sz w:val="16"/>
          <w:szCs w:val="16"/>
        </w:rPr>
      </w:pPr>
      <w:r w:rsidRPr="00180C30">
        <w:rPr>
          <w:rFonts w:ascii="Arial" w:hAnsi="Arial" w:cs="Arial"/>
          <w:color w:val="000000"/>
          <w:sz w:val="16"/>
          <w:szCs w:val="16"/>
        </w:rPr>
        <w:t xml:space="preserve">Registro de Preços </w:t>
      </w:r>
      <w:r w:rsidR="00BB3F4D">
        <w:rPr>
          <w:rFonts w:ascii="Arial" w:hAnsi="Arial" w:cs="Arial"/>
          <w:sz w:val="16"/>
          <w:szCs w:val="16"/>
        </w:rPr>
        <w:t xml:space="preserve">para futura e eventual </w:t>
      </w:r>
      <w:r w:rsidR="00BF2F95">
        <w:rPr>
          <w:rFonts w:ascii="Arial" w:hAnsi="Arial" w:cs="Arial"/>
          <w:sz w:val="16"/>
          <w:szCs w:val="16"/>
        </w:rPr>
        <w:t>a</w:t>
      </w:r>
      <w:r w:rsidR="00BF2F95" w:rsidRPr="00BF2F95">
        <w:rPr>
          <w:rFonts w:ascii="Arial" w:hAnsi="Arial" w:cs="Arial"/>
          <w:sz w:val="16"/>
          <w:szCs w:val="16"/>
        </w:rPr>
        <w:t>quisição de Material de Permanente (Equipamento de Cozinha)</w:t>
      </w:r>
      <w:r w:rsidR="00E8286B" w:rsidRPr="00BF2F95">
        <w:rPr>
          <w:rFonts w:ascii="Arial" w:hAnsi="Arial" w:cs="Arial"/>
          <w:sz w:val="16"/>
          <w:szCs w:val="16"/>
        </w:rPr>
        <w:t>,</w:t>
      </w:r>
      <w:r w:rsidR="00E8286B" w:rsidRPr="00E8286B">
        <w:rPr>
          <w:rStyle w:val="Forte"/>
          <w:rFonts w:ascii="Arial" w:eastAsiaTheme="majorEastAsia" w:hAnsi="Arial" w:cs="Arial"/>
          <w:sz w:val="16"/>
          <w:szCs w:val="16"/>
        </w:rPr>
        <w:t xml:space="preserve"> </w:t>
      </w:r>
      <w:r w:rsidR="00E8286B" w:rsidRPr="00E8286B">
        <w:rPr>
          <w:rFonts w:ascii="Arial" w:hAnsi="Arial" w:cs="Arial"/>
          <w:sz w:val="16"/>
          <w:szCs w:val="16"/>
        </w:rPr>
        <w:t>a pe</w:t>
      </w:r>
      <w:r w:rsidR="00BF2F95">
        <w:rPr>
          <w:rFonts w:ascii="Arial" w:hAnsi="Arial" w:cs="Arial"/>
          <w:sz w:val="16"/>
          <w:szCs w:val="16"/>
        </w:rPr>
        <w:t xml:space="preserve">dido da Secretaria de Estado da </w:t>
      </w:r>
      <w:r w:rsidR="00E8286B" w:rsidRPr="00E8286B">
        <w:rPr>
          <w:rFonts w:ascii="Arial" w:hAnsi="Arial" w:cs="Arial"/>
          <w:sz w:val="16"/>
          <w:szCs w:val="16"/>
        </w:rPr>
        <w:t>Educação – SEDUC</w:t>
      </w:r>
      <w:r w:rsidR="00FF40F2" w:rsidRPr="00E75D2B">
        <w:rPr>
          <w:rFonts w:ascii="Arial" w:hAnsi="Arial" w:cs="Arial"/>
          <w:color w:val="FF0000"/>
          <w:sz w:val="16"/>
          <w:szCs w:val="16"/>
        </w:rPr>
        <w:t>.</w:t>
      </w:r>
    </w:p>
    <w:p w:rsidR="00F24FD2" w:rsidRPr="002A3A4D" w:rsidRDefault="00F24FD2" w:rsidP="002A3A4D">
      <w:pPr>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E828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 xml:space="preserve">73 </w:t>
      </w:r>
      <w:r w:rsidRPr="00E8286B">
        <w:rPr>
          <w:rFonts w:ascii="Arial" w:hAnsi="Arial" w:cs="Arial"/>
          <w:sz w:val="16"/>
          <w:szCs w:val="16"/>
        </w:rPr>
        <w:t>inciso II, “a” e “b”, da Lei 8.666/93 e alterações.</w:t>
      </w:r>
    </w:p>
    <w:p w:rsidR="00E8286B" w:rsidRPr="00E8286B" w:rsidRDefault="00206244" w:rsidP="00E8286B">
      <w:pPr>
        <w:pStyle w:val="textojustificado"/>
        <w:spacing w:before="120" w:beforeAutospacing="0" w:after="120" w:afterAutospacing="0"/>
        <w:ind w:right="120"/>
        <w:jc w:val="both"/>
        <w:rPr>
          <w:rFonts w:ascii="Arial" w:hAnsi="Arial" w:cs="Arial"/>
          <w:color w:val="000000"/>
          <w:sz w:val="16"/>
          <w:szCs w:val="16"/>
        </w:rPr>
      </w:pPr>
      <w:r w:rsidRPr="005C7E29">
        <w:rPr>
          <w:rFonts w:ascii="Arial" w:hAnsi="Arial" w:cs="Arial"/>
          <w:b/>
          <w:color w:val="000000" w:themeColor="text1"/>
          <w:sz w:val="16"/>
          <w:szCs w:val="16"/>
        </w:rPr>
        <w:t>6.3. DO PRAZO DE ENTREGA</w:t>
      </w:r>
      <w:r w:rsidR="006D1053" w:rsidRPr="005C7E29">
        <w:rPr>
          <w:rFonts w:ascii="Arial" w:hAnsi="Arial" w:cs="Arial"/>
          <w:b/>
          <w:color w:val="000000" w:themeColor="text1"/>
          <w:sz w:val="16"/>
          <w:szCs w:val="16"/>
        </w:rPr>
        <w:t>:</w:t>
      </w:r>
      <w:r w:rsidR="00416202" w:rsidRPr="00E8286B">
        <w:rPr>
          <w:rFonts w:ascii="Arial" w:hAnsi="Arial" w:cs="Arial"/>
          <w:b/>
          <w:color w:val="FF0000"/>
          <w:sz w:val="16"/>
          <w:szCs w:val="16"/>
        </w:rPr>
        <w:t xml:space="preserve"> </w:t>
      </w:r>
      <w:r w:rsidR="00E64825" w:rsidRPr="00E64825">
        <w:rPr>
          <w:rFonts w:ascii="Arial" w:hAnsi="Arial" w:cs="Arial"/>
          <w:sz w:val="16"/>
          <w:szCs w:val="16"/>
        </w:rPr>
        <w:t>Os materiais/bens</w:t>
      </w:r>
      <w:proofErr w:type="gramStart"/>
      <w:r w:rsidR="00E64825" w:rsidRPr="00E64825">
        <w:rPr>
          <w:rFonts w:ascii="Arial" w:hAnsi="Arial" w:cs="Arial"/>
          <w:sz w:val="16"/>
          <w:szCs w:val="16"/>
        </w:rPr>
        <w:t>, deverão</w:t>
      </w:r>
      <w:proofErr w:type="gramEnd"/>
      <w:r w:rsidR="00E64825" w:rsidRPr="00E64825">
        <w:rPr>
          <w:rFonts w:ascii="Arial" w:hAnsi="Arial" w:cs="Arial"/>
          <w:sz w:val="16"/>
          <w:szCs w:val="16"/>
        </w:rPr>
        <w:t xml:space="preserve"> ser entregues, no prazo de até </w:t>
      </w:r>
      <w:r w:rsidR="00E64825" w:rsidRPr="00E64825">
        <w:rPr>
          <w:rFonts w:ascii="Arial" w:hAnsi="Arial" w:cs="Arial"/>
          <w:b/>
          <w:bCs/>
          <w:sz w:val="16"/>
          <w:szCs w:val="16"/>
        </w:rPr>
        <w:t>30 (trinta) dias consecutivos, </w:t>
      </w:r>
      <w:r w:rsidR="00E64825" w:rsidRPr="00E64825">
        <w:rPr>
          <w:rFonts w:ascii="Arial" w:hAnsi="Arial" w:cs="Arial"/>
          <w:sz w:val="16"/>
          <w:szCs w:val="16"/>
        </w:rPr>
        <w:t>contados a partir do primeiro dia útil após o recebimento da Nota de Empenho – NE ou outro documento equivalente, em remessa única</w:t>
      </w:r>
      <w:r w:rsidR="00E64825">
        <w:rPr>
          <w:color w:val="000000"/>
          <w:sz w:val="22"/>
          <w:szCs w:val="22"/>
        </w:rPr>
        <w:t>.</w:t>
      </w:r>
    </w:p>
    <w:p w:rsidR="00BF2F95" w:rsidRPr="00BF2F95" w:rsidRDefault="00E370C4" w:rsidP="00BF2F95">
      <w:pPr>
        <w:pStyle w:val="textojustificado"/>
        <w:spacing w:before="120" w:beforeAutospacing="0" w:after="120" w:afterAutospacing="0"/>
        <w:ind w:right="120"/>
        <w:jc w:val="both"/>
        <w:rPr>
          <w:rFonts w:ascii="Arial" w:hAnsi="Arial" w:cs="Arial"/>
          <w:sz w:val="16"/>
          <w:szCs w:val="16"/>
        </w:rPr>
      </w:pPr>
      <w:r w:rsidRPr="005C7E29">
        <w:rPr>
          <w:rFonts w:ascii="Arial" w:hAnsi="Arial" w:cs="Arial"/>
          <w:b/>
          <w:color w:val="000000" w:themeColor="text1"/>
          <w:sz w:val="16"/>
          <w:szCs w:val="16"/>
        </w:rPr>
        <w:t>6.4. DO LOCAL DE ENTREGA:</w:t>
      </w:r>
      <w:r w:rsidRPr="00E8286B">
        <w:rPr>
          <w:rFonts w:ascii="Arial" w:hAnsi="Arial" w:cs="Arial"/>
          <w:b/>
          <w:color w:val="FF0000"/>
          <w:sz w:val="16"/>
          <w:szCs w:val="16"/>
        </w:rPr>
        <w:t xml:space="preserve"> </w:t>
      </w:r>
      <w:r w:rsidR="00BF2F95" w:rsidRPr="00BF2F95">
        <w:rPr>
          <w:rFonts w:ascii="Arial" w:hAnsi="Arial" w:cs="Arial"/>
          <w:sz w:val="16"/>
          <w:szCs w:val="16"/>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BF2F95" w:rsidRPr="00BF2F95">
        <w:rPr>
          <w:rFonts w:ascii="Arial" w:hAnsi="Arial" w:cs="Arial"/>
          <w:b/>
          <w:bCs/>
          <w:sz w:val="16"/>
          <w:szCs w:val="16"/>
        </w:rPr>
        <w:t>mediante prévio agendamento</w:t>
      </w:r>
      <w:r w:rsidR="00BF2F95" w:rsidRPr="00BF2F95">
        <w:rPr>
          <w:rFonts w:ascii="Arial" w:hAnsi="Arial" w:cs="Arial"/>
          <w:sz w:val="16"/>
          <w:szCs w:val="16"/>
        </w:rPr>
        <w:t> junto ao GAP/SEDUC, pelos telefones: (69) 3216-5901 e (69) 3216-5923.</w:t>
      </w:r>
    </w:p>
    <w:p w:rsidR="00B0336B" w:rsidRPr="00BF2F95" w:rsidRDefault="00BF2F95" w:rsidP="00BF2F95">
      <w:pPr>
        <w:pStyle w:val="textojustificado"/>
        <w:spacing w:before="120" w:beforeAutospacing="0" w:after="120" w:afterAutospacing="0"/>
        <w:ind w:right="120"/>
        <w:jc w:val="both"/>
        <w:rPr>
          <w:color w:val="000000"/>
          <w:sz w:val="22"/>
          <w:szCs w:val="22"/>
        </w:rPr>
      </w:pPr>
      <w:r w:rsidRPr="00BF2F95">
        <w:rPr>
          <w:rFonts w:ascii="Arial" w:hAnsi="Arial" w:cs="Arial"/>
          <w:b/>
          <w:color w:val="000000" w:themeColor="text1"/>
          <w:sz w:val="16"/>
          <w:szCs w:val="16"/>
        </w:rPr>
        <w:t>6.</w:t>
      </w:r>
      <w:r w:rsidRPr="00BF2F95">
        <w:rPr>
          <w:rFonts w:ascii="Arial" w:hAnsi="Arial" w:cs="Arial"/>
          <w:b/>
          <w:bCs/>
          <w:color w:val="000000" w:themeColor="text1"/>
          <w:sz w:val="16"/>
          <w:szCs w:val="16"/>
        </w:rPr>
        <w:t>4.1</w:t>
      </w:r>
      <w:r w:rsidRPr="00BF2F95">
        <w:rPr>
          <w:rFonts w:ascii="Arial" w:hAnsi="Arial" w:cs="Arial"/>
          <w:bCs/>
          <w:color w:val="000000" w:themeColor="text1"/>
          <w:sz w:val="16"/>
          <w:szCs w:val="16"/>
        </w:rPr>
        <w:t>.</w:t>
      </w:r>
      <w:r w:rsidRPr="000A28C1">
        <w:rPr>
          <w:rStyle w:val="Forte"/>
          <w:color w:val="000000"/>
          <w:sz w:val="22"/>
          <w:szCs w:val="22"/>
        </w:rPr>
        <w:t> </w:t>
      </w:r>
      <w:r w:rsidRPr="00BF2F95">
        <w:rPr>
          <w:rFonts w:ascii="Arial" w:hAnsi="Arial" w:cs="Arial"/>
          <w:sz w:val="16"/>
          <w:szCs w:val="16"/>
        </w:rPr>
        <w:t>As entregas sem agendamento somente serão aceitas, excepcionalmente, desde que não prejudique os demais recebimentos agendados, a critério do GAP/SEDUC</w:t>
      </w:r>
      <w:r w:rsidR="005C7E29" w:rsidRPr="005C7E29">
        <w:rPr>
          <w:rFonts w:ascii="Arial" w:hAnsi="Arial" w:cs="Arial"/>
          <w:sz w:val="16"/>
          <w:szCs w:val="16"/>
        </w:rPr>
        <w:t>.</w:t>
      </w: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E75D2B" w:rsidRDefault="00416202" w:rsidP="009D2314">
      <w:pPr>
        <w:pStyle w:val="Corpodetexto2"/>
        <w:ind w:right="-1" w:firstLine="0"/>
        <w:rPr>
          <w:color w:val="FF0000"/>
          <w:sz w:val="16"/>
          <w:szCs w:val="16"/>
        </w:rPr>
      </w:pPr>
    </w:p>
    <w:p w:rsidR="00963E74" w:rsidRDefault="006E65B3" w:rsidP="00963E74">
      <w:pPr>
        <w:pStyle w:val="Lista2"/>
        <w:ind w:left="0" w:firstLine="0"/>
        <w:jc w:val="both"/>
        <w:rPr>
          <w:b/>
          <w:bCs/>
          <w:color w:val="000000" w:themeColor="text1"/>
          <w:sz w:val="16"/>
          <w:szCs w:val="16"/>
        </w:rPr>
      </w:pPr>
      <w:r w:rsidRPr="005C7E29">
        <w:rPr>
          <w:b/>
          <w:bCs/>
          <w:color w:val="000000" w:themeColor="text1"/>
          <w:sz w:val="16"/>
          <w:szCs w:val="16"/>
        </w:rPr>
        <w:t xml:space="preserve">9. </w:t>
      </w:r>
      <w:r w:rsidR="009D2314" w:rsidRPr="005C7E29">
        <w:rPr>
          <w:b/>
          <w:bCs/>
          <w:color w:val="000000" w:themeColor="text1"/>
          <w:sz w:val="16"/>
          <w:szCs w:val="16"/>
        </w:rPr>
        <w:t xml:space="preserve">DAS SANÇÕES </w:t>
      </w:r>
    </w:p>
    <w:p w:rsidR="00963E74" w:rsidRDefault="00F864AC" w:rsidP="00963E74">
      <w:pPr>
        <w:pStyle w:val="Lista2"/>
        <w:ind w:left="0" w:firstLine="0"/>
        <w:jc w:val="both"/>
        <w:rPr>
          <w:sz w:val="16"/>
          <w:szCs w:val="16"/>
        </w:rPr>
      </w:pPr>
      <w:r w:rsidRPr="00963E74">
        <w:rPr>
          <w:b/>
          <w:sz w:val="16"/>
          <w:szCs w:val="16"/>
        </w:rPr>
        <w:t>9.1.</w:t>
      </w:r>
      <w:r w:rsidRPr="005D06A3">
        <w:rPr>
          <w:b/>
          <w:bCs/>
        </w:rPr>
        <w:t> </w:t>
      </w:r>
      <w:r w:rsidR="00963E74" w:rsidRPr="00963E74">
        <w:rPr>
          <w:sz w:val="16"/>
          <w:szCs w:val="16"/>
        </w:rPr>
        <w:t>Além daquelas determinadas por leis, decretos, regulamentos e demais dispositivos legais, a CONTRATADA estará sujeita as sanções definidas neste Termo de Referência.</w:t>
      </w:r>
    </w:p>
    <w:p w:rsidR="00963E74" w:rsidRDefault="00963E74" w:rsidP="00963E74">
      <w:pPr>
        <w:pStyle w:val="Lista2"/>
        <w:ind w:left="0" w:firstLine="0"/>
        <w:jc w:val="both"/>
        <w:rPr>
          <w:sz w:val="16"/>
          <w:szCs w:val="16"/>
        </w:rPr>
      </w:pPr>
      <w:r w:rsidRPr="00963E74">
        <w:rPr>
          <w:b/>
          <w:bCs/>
          <w:sz w:val="16"/>
          <w:szCs w:val="16"/>
        </w:rPr>
        <w:lastRenderedPageBreak/>
        <w:t>9.2. </w:t>
      </w:r>
      <w:r w:rsidRPr="00963E74">
        <w:rPr>
          <w:sz w:val="16"/>
          <w:szCs w:val="16"/>
        </w:rPr>
        <w:t>Sem prejuízo das sanções cominadas no art. 87, I, III e IV, da Lei nº 8.666/93, pela inexecução total ou parcial do instrumento de contrato, a Contratante poderá, garantida a prévia e ampla defesa, aplicar à Contratada multa (</w:t>
      </w:r>
      <w:r w:rsidRPr="00963E74">
        <w:rPr>
          <w:b/>
          <w:bCs/>
          <w:sz w:val="16"/>
          <w:szCs w:val="16"/>
        </w:rPr>
        <w:t>Tabela – Item 19.11</w:t>
      </w:r>
      <w:r>
        <w:rPr>
          <w:b/>
          <w:bCs/>
          <w:sz w:val="16"/>
          <w:szCs w:val="16"/>
        </w:rPr>
        <w:t xml:space="preserve"> do termo de referencia</w:t>
      </w:r>
      <w:r w:rsidRPr="00963E74">
        <w:rPr>
          <w:sz w:val="16"/>
          <w:szCs w:val="16"/>
        </w:rPr>
        <w:t>), sobre a parcela inadimplida do contrato.</w:t>
      </w:r>
    </w:p>
    <w:p w:rsidR="00963E74" w:rsidRDefault="00963E74" w:rsidP="00963E74">
      <w:pPr>
        <w:pStyle w:val="Lista2"/>
        <w:ind w:left="0" w:firstLine="0"/>
        <w:jc w:val="both"/>
        <w:rPr>
          <w:sz w:val="16"/>
          <w:szCs w:val="16"/>
        </w:rPr>
      </w:pPr>
      <w:r w:rsidRPr="00963E74">
        <w:rPr>
          <w:b/>
          <w:bCs/>
          <w:sz w:val="16"/>
          <w:szCs w:val="16"/>
        </w:rPr>
        <w:t>9.3. </w:t>
      </w:r>
      <w:r w:rsidRPr="00963E74">
        <w:rPr>
          <w:sz w:val="16"/>
          <w:szCs w:val="16"/>
        </w:rPr>
        <w:t>Se a adjudicatária se recusar a retirar o instrumento contratual injustificadamente ou se não apresentar situação regular na ocasião dos recebimentos, garantida a prévia e ampla defesa, aplicar à Contratada </w:t>
      </w:r>
      <w:r w:rsidRPr="00963E74">
        <w:rPr>
          <w:b/>
          <w:bCs/>
          <w:sz w:val="16"/>
          <w:szCs w:val="16"/>
        </w:rPr>
        <w:t>multa de até 10% (dez por cento) </w:t>
      </w:r>
      <w:r w:rsidRPr="00963E74">
        <w:rPr>
          <w:sz w:val="16"/>
          <w:szCs w:val="16"/>
        </w:rPr>
        <w:t>sobre a parcela inadimplida do contrato.</w:t>
      </w:r>
    </w:p>
    <w:p w:rsidR="00963E74" w:rsidRDefault="00963E74" w:rsidP="00963E74">
      <w:pPr>
        <w:pStyle w:val="Lista2"/>
        <w:ind w:left="0" w:firstLine="0"/>
        <w:jc w:val="both"/>
        <w:rPr>
          <w:sz w:val="16"/>
          <w:szCs w:val="16"/>
        </w:rPr>
      </w:pPr>
      <w:r w:rsidRPr="00963E74">
        <w:rPr>
          <w:b/>
          <w:bCs/>
          <w:sz w:val="16"/>
          <w:szCs w:val="16"/>
        </w:rPr>
        <w:t>9.4. </w:t>
      </w:r>
      <w:r w:rsidRPr="00963E74">
        <w:rPr>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963E74">
        <w:rPr>
          <w:b/>
          <w:bCs/>
          <w:sz w:val="16"/>
          <w:szCs w:val="16"/>
        </w:rPr>
        <w:t xml:space="preserve">ficará impedida de licitar e contratar com o Estado, e será </w:t>
      </w:r>
      <w:proofErr w:type="gramStart"/>
      <w:r w:rsidRPr="00963E74">
        <w:rPr>
          <w:b/>
          <w:bCs/>
          <w:sz w:val="16"/>
          <w:szCs w:val="16"/>
        </w:rPr>
        <w:t>descredenciado no Cadastro de Fornecedores Estadual</w:t>
      </w:r>
      <w:proofErr w:type="gramEnd"/>
      <w:r w:rsidRPr="00963E74">
        <w:rPr>
          <w:b/>
          <w:bCs/>
          <w:sz w:val="16"/>
          <w:szCs w:val="16"/>
        </w:rPr>
        <w:t>, pelo prazo de</w:t>
      </w:r>
      <w:r w:rsidRPr="00963E74">
        <w:rPr>
          <w:sz w:val="16"/>
          <w:szCs w:val="16"/>
        </w:rPr>
        <w:t> </w:t>
      </w:r>
      <w:r w:rsidRPr="00963E74">
        <w:rPr>
          <w:b/>
          <w:bCs/>
          <w:sz w:val="16"/>
          <w:szCs w:val="16"/>
        </w:rPr>
        <w:t>até 05 (cinco) anos</w:t>
      </w:r>
      <w:r w:rsidRPr="00963E74">
        <w:rPr>
          <w:sz w:val="16"/>
          <w:szCs w:val="16"/>
        </w:rPr>
        <w:t>, sem prejuízo das multas previstas no Edital e das demais cominações legais, devendo ser incluída a penalidade no SICAFI e no CAGEFOR (Cadastro Estadual de Fornecedores Impedidos de Licitar).</w:t>
      </w:r>
    </w:p>
    <w:p w:rsidR="00963E74" w:rsidRDefault="00963E74" w:rsidP="00963E74">
      <w:pPr>
        <w:pStyle w:val="Lista2"/>
        <w:ind w:left="0" w:firstLine="0"/>
        <w:jc w:val="both"/>
        <w:rPr>
          <w:sz w:val="16"/>
          <w:szCs w:val="16"/>
        </w:rPr>
      </w:pPr>
      <w:r w:rsidRPr="00963E74">
        <w:rPr>
          <w:b/>
          <w:bCs/>
          <w:sz w:val="16"/>
          <w:szCs w:val="16"/>
        </w:rPr>
        <w:t>9.5. </w:t>
      </w:r>
      <w:r w:rsidRPr="00963E74">
        <w:rPr>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963E74">
        <w:rPr>
          <w:b/>
          <w:bCs/>
          <w:sz w:val="16"/>
          <w:szCs w:val="16"/>
        </w:rPr>
        <w:t>caso houver</w:t>
      </w:r>
      <w:r w:rsidRPr="00963E74">
        <w:rPr>
          <w:sz w:val="16"/>
          <w:szCs w:val="16"/>
        </w:rPr>
        <w:t>. Mantendo-se o insucesso, seus dados serão encaminhados ao órgão competente para que seja inscrita na dívida ativa, podendo, ainda a Administração proceder à cobrança judicial.</w:t>
      </w:r>
    </w:p>
    <w:p w:rsidR="00963E74" w:rsidRDefault="00963E74" w:rsidP="00963E74">
      <w:pPr>
        <w:pStyle w:val="Lista2"/>
        <w:ind w:left="0" w:firstLine="0"/>
        <w:jc w:val="both"/>
        <w:rPr>
          <w:sz w:val="16"/>
          <w:szCs w:val="16"/>
        </w:rPr>
      </w:pPr>
      <w:r w:rsidRPr="00963E74">
        <w:rPr>
          <w:b/>
          <w:bCs/>
          <w:sz w:val="16"/>
          <w:szCs w:val="16"/>
        </w:rPr>
        <w:t>9.6. </w:t>
      </w:r>
      <w:r w:rsidRPr="00963E74">
        <w:rPr>
          <w:sz w:val="16"/>
          <w:szCs w:val="16"/>
        </w:rPr>
        <w:t>As multas previstas nesta seção não eximem a adjudicatária ou contratada da reparação dos eventuais danos, perdas ou prejuízos que seu ato punível venha causar à Administração.</w:t>
      </w:r>
    </w:p>
    <w:p w:rsidR="00963E74" w:rsidRDefault="00963E74" w:rsidP="00963E74">
      <w:pPr>
        <w:pStyle w:val="Lista2"/>
        <w:ind w:left="0" w:firstLine="0"/>
        <w:jc w:val="both"/>
        <w:rPr>
          <w:sz w:val="16"/>
          <w:szCs w:val="16"/>
        </w:rPr>
      </w:pPr>
      <w:r w:rsidRPr="00963E74">
        <w:rPr>
          <w:b/>
          <w:bCs/>
          <w:sz w:val="16"/>
          <w:szCs w:val="16"/>
        </w:rPr>
        <w:t>9.7. </w:t>
      </w:r>
      <w:r w:rsidRPr="00963E74">
        <w:rPr>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63E74" w:rsidRDefault="00963E74" w:rsidP="00963E74">
      <w:pPr>
        <w:pStyle w:val="Lista2"/>
        <w:ind w:left="0" w:firstLine="0"/>
        <w:jc w:val="both"/>
        <w:rPr>
          <w:sz w:val="16"/>
          <w:szCs w:val="16"/>
        </w:rPr>
      </w:pPr>
      <w:r w:rsidRPr="00963E74">
        <w:rPr>
          <w:b/>
          <w:bCs/>
          <w:sz w:val="16"/>
          <w:szCs w:val="16"/>
        </w:rPr>
        <w:t>9.8. </w:t>
      </w:r>
      <w:r w:rsidRPr="00963E74">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63E74" w:rsidRPr="00963E74" w:rsidRDefault="00963E74" w:rsidP="00963E74">
      <w:pPr>
        <w:pStyle w:val="Lista2"/>
        <w:ind w:left="0" w:firstLine="0"/>
        <w:jc w:val="both"/>
        <w:rPr>
          <w:b/>
          <w:bCs/>
          <w:color w:val="000000" w:themeColor="text1"/>
          <w:sz w:val="16"/>
          <w:szCs w:val="16"/>
        </w:rPr>
      </w:pPr>
      <w:r w:rsidRPr="00963E74">
        <w:rPr>
          <w:b/>
          <w:bCs/>
          <w:sz w:val="16"/>
          <w:szCs w:val="16"/>
        </w:rPr>
        <w:t>9.9. </w:t>
      </w:r>
      <w:r w:rsidRPr="00963E74">
        <w:rPr>
          <w:sz w:val="16"/>
          <w:szCs w:val="16"/>
        </w:rPr>
        <w:t>São exemplos de infração administrativa penalizáveis, nos termos da Lei nº 8.666, de 1993, da Lei nº 10.520, de 2002, dos Decretos Estaduais </w:t>
      </w:r>
      <w:r w:rsidRPr="00963E74">
        <w:rPr>
          <w:b/>
          <w:bCs/>
          <w:sz w:val="16"/>
          <w:szCs w:val="16"/>
        </w:rPr>
        <w:t>nº 12.205/06 e 12.234/06 (Pregão Eletrônico e Presencial)</w:t>
      </w:r>
      <w:r w:rsidRPr="00963E74">
        <w:rPr>
          <w:sz w:val="16"/>
          <w:szCs w:val="16"/>
        </w:rPr>
        <w:t>:</w:t>
      </w:r>
    </w:p>
    <w:p w:rsidR="00963E74" w:rsidRPr="00963E74" w:rsidRDefault="00963E74" w:rsidP="00963E74">
      <w:pPr>
        <w:pStyle w:val="textojustificado"/>
        <w:spacing w:before="120" w:beforeAutospacing="0" w:after="120" w:afterAutospacing="0"/>
        <w:ind w:left="120" w:right="120"/>
        <w:jc w:val="both"/>
        <w:rPr>
          <w:rFonts w:ascii="Arial" w:hAnsi="Arial" w:cs="Arial"/>
          <w:sz w:val="16"/>
          <w:szCs w:val="16"/>
        </w:rPr>
      </w:pPr>
      <w:proofErr w:type="gramStart"/>
      <w:r w:rsidRPr="00963E74">
        <w:rPr>
          <w:rFonts w:ascii="Arial" w:hAnsi="Arial" w:cs="Arial"/>
          <w:b/>
          <w:bCs/>
          <w:sz w:val="16"/>
          <w:szCs w:val="16"/>
        </w:rPr>
        <w:t>a</w:t>
      </w:r>
      <w:proofErr w:type="gramEnd"/>
      <w:r w:rsidRPr="00963E74">
        <w:rPr>
          <w:rFonts w:ascii="Arial" w:hAnsi="Arial" w:cs="Arial"/>
          <w:b/>
          <w:bCs/>
          <w:sz w:val="16"/>
          <w:szCs w:val="16"/>
        </w:rPr>
        <w:t>) </w:t>
      </w:r>
      <w:r w:rsidRPr="00963E74">
        <w:rPr>
          <w:rFonts w:ascii="Arial" w:hAnsi="Arial" w:cs="Arial"/>
          <w:sz w:val="16"/>
          <w:szCs w:val="16"/>
        </w:rPr>
        <w:t>Inexecução total ou parcial do contrato;</w:t>
      </w:r>
    </w:p>
    <w:p w:rsidR="00963E74" w:rsidRPr="00963E74" w:rsidRDefault="00963E74" w:rsidP="00963E74">
      <w:pPr>
        <w:pStyle w:val="textojustificado"/>
        <w:spacing w:before="120" w:beforeAutospacing="0" w:after="120" w:afterAutospacing="0"/>
        <w:ind w:left="120" w:right="120"/>
        <w:jc w:val="both"/>
        <w:rPr>
          <w:rFonts w:ascii="Arial" w:hAnsi="Arial" w:cs="Arial"/>
          <w:sz w:val="16"/>
          <w:szCs w:val="16"/>
        </w:rPr>
      </w:pPr>
      <w:proofErr w:type="gramStart"/>
      <w:r w:rsidRPr="00963E74">
        <w:rPr>
          <w:rFonts w:ascii="Arial" w:hAnsi="Arial" w:cs="Arial"/>
          <w:b/>
          <w:bCs/>
          <w:sz w:val="16"/>
          <w:szCs w:val="16"/>
        </w:rPr>
        <w:t>b)</w:t>
      </w:r>
      <w:proofErr w:type="gramEnd"/>
      <w:r w:rsidRPr="00963E74">
        <w:rPr>
          <w:rFonts w:ascii="Arial" w:hAnsi="Arial" w:cs="Arial"/>
          <w:b/>
          <w:bCs/>
          <w:sz w:val="16"/>
          <w:szCs w:val="16"/>
        </w:rPr>
        <w:t> </w:t>
      </w:r>
      <w:r w:rsidRPr="00963E74">
        <w:rPr>
          <w:rFonts w:ascii="Arial" w:hAnsi="Arial" w:cs="Arial"/>
          <w:sz w:val="16"/>
          <w:szCs w:val="16"/>
        </w:rPr>
        <w:t>Apresentação de documentação falsa;</w:t>
      </w:r>
    </w:p>
    <w:p w:rsidR="00963E74" w:rsidRPr="00963E74" w:rsidRDefault="00963E74" w:rsidP="00963E74">
      <w:pPr>
        <w:pStyle w:val="textojustificado"/>
        <w:spacing w:before="120" w:beforeAutospacing="0" w:after="120" w:afterAutospacing="0"/>
        <w:ind w:left="120" w:right="120"/>
        <w:jc w:val="both"/>
        <w:rPr>
          <w:rFonts w:ascii="Arial" w:hAnsi="Arial" w:cs="Arial"/>
          <w:sz w:val="16"/>
          <w:szCs w:val="16"/>
        </w:rPr>
      </w:pPr>
      <w:proofErr w:type="gramStart"/>
      <w:r w:rsidRPr="00963E74">
        <w:rPr>
          <w:rFonts w:ascii="Arial" w:hAnsi="Arial" w:cs="Arial"/>
          <w:b/>
          <w:bCs/>
          <w:sz w:val="16"/>
          <w:szCs w:val="16"/>
        </w:rPr>
        <w:t>c)</w:t>
      </w:r>
      <w:proofErr w:type="gramEnd"/>
      <w:r w:rsidRPr="00963E74">
        <w:rPr>
          <w:rFonts w:ascii="Arial" w:hAnsi="Arial" w:cs="Arial"/>
          <w:b/>
          <w:bCs/>
          <w:sz w:val="16"/>
          <w:szCs w:val="16"/>
        </w:rPr>
        <w:t> </w:t>
      </w:r>
      <w:r w:rsidRPr="00963E74">
        <w:rPr>
          <w:rFonts w:ascii="Arial" w:hAnsi="Arial" w:cs="Arial"/>
          <w:sz w:val="16"/>
          <w:szCs w:val="16"/>
        </w:rPr>
        <w:t>Comportamento inidôneo;</w:t>
      </w:r>
    </w:p>
    <w:p w:rsidR="00963E74" w:rsidRPr="00963E74" w:rsidRDefault="00963E74" w:rsidP="00963E74">
      <w:pPr>
        <w:pStyle w:val="textojustificado"/>
        <w:spacing w:before="120" w:beforeAutospacing="0" w:after="120" w:afterAutospacing="0"/>
        <w:ind w:left="120" w:right="120"/>
        <w:jc w:val="both"/>
        <w:rPr>
          <w:rFonts w:ascii="Arial" w:hAnsi="Arial" w:cs="Arial"/>
          <w:sz w:val="16"/>
          <w:szCs w:val="16"/>
        </w:rPr>
      </w:pPr>
      <w:proofErr w:type="gramStart"/>
      <w:r w:rsidRPr="00963E74">
        <w:rPr>
          <w:rFonts w:ascii="Arial" w:hAnsi="Arial" w:cs="Arial"/>
          <w:b/>
          <w:bCs/>
          <w:sz w:val="16"/>
          <w:szCs w:val="16"/>
        </w:rPr>
        <w:t>d)</w:t>
      </w:r>
      <w:proofErr w:type="gramEnd"/>
      <w:r w:rsidRPr="00963E74">
        <w:rPr>
          <w:rFonts w:ascii="Arial" w:hAnsi="Arial" w:cs="Arial"/>
          <w:b/>
          <w:bCs/>
          <w:sz w:val="16"/>
          <w:szCs w:val="16"/>
        </w:rPr>
        <w:t> </w:t>
      </w:r>
      <w:r w:rsidRPr="00963E74">
        <w:rPr>
          <w:rFonts w:ascii="Arial" w:hAnsi="Arial" w:cs="Arial"/>
          <w:sz w:val="16"/>
          <w:szCs w:val="16"/>
        </w:rPr>
        <w:t>Fraude fiscal;</w:t>
      </w:r>
    </w:p>
    <w:p w:rsidR="00963E74" w:rsidRDefault="00963E74" w:rsidP="00963E74">
      <w:pPr>
        <w:pStyle w:val="textojustificado"/>
        <w:spacing w:before="120" w:beforeAutospacing="0" w:after="120" w:afterAutospacing="0"/>
        <w:ind w:left="120" w:right="120"/>
        <w:jc w:val="both"/>
        <w:rPr>
          <w:rFonts w:ascii="Arial" w:hAnsi="Arial" w:cs="Arial"/>
          <w:sz w:val="16"/>
          <w:szCs w:val="16"/>
        </w:rPr>
      </w:pPr>
      <w:proofErr w:type="gramStart"/>
      <w:r w:rsidRPr="00963E74">
        <w:rPr>
          <w:rFonts w:ascii="Arial" w:hAnsi="Arial" w:cs="Arial"/>
          <w:b/>
          <w:bCs/>
          <w:sz w:val="16"/>
          <w:szCs w:val="16"/>
        </w:rPr>
        <w:t>e</w:t>
      </w:r>
      <w:proofErr w:type="gramEnd"/>
      <w:r w:rsidRPr="00963E74">
        <w:rPr>
          <w:rFonts w:ascii="Arial" w:hAnsi="Arial" w:cs="Arial"/>
          <w:b/>
          <w:bCs/>
          <w:sz w:val="16"/>
          <w:szCs w:val="16"/>
        </w:rPr>
        <w:t>) </w:t>
      </w:r>
      <w:r w:rsidRPr="00963E74">
        <w:rPr>
          <w:rFonts w:ascii="Arial" w:hAnsi="Arial" w:cs="Arial"/>
          <w:sz w:val="16"/>
          <w:szCs w:val="16"/>
        </w:rPr>
        <w:t>Descumprimento de qualquer dos deveres elencados no Edital ou no Contrato.</w:t>
      </w:r>
    </w:p>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9.10. </w:t>
      </w:r>
      <w:r w:rsidRPr="00963E74">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963E74" w:rsidRP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9.11. </w:t>
      </w:r>
      <w:r w:rsidRPr="00963E74">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1068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7159"/>
        <w:gridCol w:w="1444"/>
        <w:gridCol w:w="1425"/>
      </w:tblGrid>
      <w:tr w:rsidR="00963E74" w:rsidRPr="00963E74" w:rsidTr="00963E74">
        <w:trPr>
          <w:trHeight w:val="43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b/>
                <w:bCs/>
                <w:sz w:val="16"/>
                <w:szCs w:val="16"/>
              </w:rPr>
              <w:t>ITEM</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b/>
                <w:bCs/>
                <w:sz w:val="16"/>
                <w:szCs w:val="16"/>
              </w:rPr>
              <w:t>DESCRIÇÃO DA INFRAÇÃO</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b/>
                <w:bCs/>
                <w:sz w:val="16"/>
                <w:szCs w:val="16"/>
              </w:rPr>
              <w:t>GRAU</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b/>
                <w:bCs/>
                <w:sz w:val="16"/>
                <w:szCs w:val="16"/>
              </w:rPr>
              <w:t>MULTA*</w:t>
            </w:r>
          </w:p>
        </w:tc>
      </w:tr>
      <w:tr w:rsidR="00963E74" w:rsidRPr="00963E74" w:rsidTr="00963E74">
        <w:trPr>
          <w:trHeight w:val="607"/>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01</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Executar a entrega incompleta, paliativo substitutivo como por caráter permanente, ou deixar de providenciar recomposição complementar; por ocorrência.</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02</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0,4% por dia</w:t>
            </w:r>
          </w:p>
        </w:tc>
      </w:tr>
      <w:tr w:rsidR="00963E74" w:rsidRPr="00963E74" w:rsidTr="00963E74">
        <w:trPr>
          <w:trHeight w:val="6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02</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Recusar-se a executar as determinações feitas pela FISCALIZAÇÃO, sem motivo justificado; por ocorrência.</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04</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1,6% por dia</w:t>
            </w:r>
          </w:p>
        </w:tc>
      </w:tr>
      <w:tr w:rsidR="00963E74" w:rsidRPr="00963E74" w:rsidTr="00963E74">
        <w:trPr>
          <w:trHeight w:val="6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03</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Suspender ou interromper, salvo por motivo de força maior ou caso fortuito, os fornecimentos dos bens adquiridos.</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05</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3,2% por dia</w:t>
            </w:r>
          </w:p>
        </w:tc>
      </w:tr>
      <w:tr w:rsidR="00963E74" w:rsidRPr="00963E74" w:rsidTr="00963E74">
        <w:trPr>
          <w:trHeight w:val="43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04</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Destruir ou danificar documentos por culpa ou dolo de seus agentes; por ocorrência.</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05</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3,2% por dia</w:t>
            </w:r>
          </w:p>
        </w:tc>
      </w:tr>
      <w:tr w:rsidR="00963E74" w:rsidRPr="00963E74" w:rsidTr="00963E74">
        <w:trPr>
          <w:trHeight w:val="6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05</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 xml:space="preserve">Permitir situação que crie a possibilidade ou cause </w:t>
            </w:r>
            <w:proofErr w:type="gramStart"/>
            <w:r w:rsidRPr="00963E74">
              <w:rPr>
                <w:rFonts w:ascii="Arial" w:hAnsi="Arial" w:cs="Arial"/>
                <w:sz w:val="16"/>
                <w:szCs w:val="16"/>
              </w:rPr>
              <w:t>danos físico</w:t>
            </w:r>
            <w:proofErr w:type="gramEnd"/>
            <w:r w:rsidRPr="00963E74">
              <w:rPr>
                <w:rFonts w:ascii="Arial" w:hAnsi="Arial" w:cs="Arial"/>
                <w:sz w:val="16"/>
                <w:szCs w:val="16"/>
              </w:rPr>
              <w:t>, lesão corporal ou consequências letais; por ocorrência.</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06</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4,0% por dia</w:t>
            </w:r>
          </w:p>
        </w:tc>
      </w:tr>
      <w:tr w:rsidR="00963E74" w:rsidRPr="00963E74" w:rsidTr="00963E74">
        <w:trPr>
          <w:trHeight w:val="42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06</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Inexecução total do contrato.</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10</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10 %</w:t>
            </w:r>
          </w:p>
        </w:tc>
      </w:tr>
      <w:tr w:rsidR="00963E74" w:rsidRPr="00963E74" w:rsidTr="00963E74">
        <w:trPr>
          <w:trHeight w:val="433"/>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b/>
                <w:bCs/>
                <w:sz w:val="16"/>
                <w:szCs w:val="16"/>
              </w:rPr>
              <w:t>Para os itens a seguir, deixar de:</w:t>
            </w:r>
          </w:p>
        </w:tc>
      </w:tr>
      <w:tr w:rsidR="00963E74" w:rsidRPr="00963E74" w:rsidTr="00963E74">
        <w:trPr>
          <w:trHeight w:val="42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07</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Manter a documentação de habilitação atualizada; por item, por ocorrência.</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01</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0,2% por dia</w:t>
            </w:r>
          </w:p>
        </w:tc>
      </w:tr>
      <w:tr w:rsidR="00963E74" w:rsidRPr="00963E74" w:rsidTr="00963E74">
        <w:trPr>
          <w:trHeight w:val="61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08</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Iniciar a entrega nos prazos estabelecidos, observados os limites mínimos estabelecidos por este Contrato; por item, por ocorrência.</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02</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0,2% por dia</w:t>
            </w:r>
          </w:p>
        </w:tc>
      </w:tr>
      <w:tr w:rsidR="00963E74" w:rsidRPr="00963E74" w:rsidTr="00963E74">
        <w:trPr>
          <w:trHeight w:val="43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09</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Ressarcir o órgão por eventuais danos causados por sua culpa;</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02</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0,4% por dia</w:t>
            </w:r>
          </w:p>
        </w:tc>
      </w:tr>
      <w:tr w:rsidR="00963E74" w:rsidRPr="00963E74" w:rsidTr="00963E74">
        <w:trPr>
          <w:trHeight w:val="7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10</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03</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0,8% por dia</w:t>
            </w:r>
          </w:p>
        </w:tc>
      </w:tr>
      <w:tr w:rsidR="00963E74" w:rsidRPr="00963E74" w:rsidTr="00963E74">
        <w:trPr>
          <w:trHeight w:val="43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11</w:t>
            </w:r>
          </w:p>
        </w:tc>
        <w:tc>
          <w:tcPr>
            <w:tcW w:w="7172"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Cumprir determinação formal ou instrução complementar da FISCALIZAÇÃO, por ocorrência;</w:t>
            </w:r>
          </w:p>
        </w:tc>
        <w:tc>
          <w:tcPr>
            <w:tcW w:w="144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03</w:t>
            </w:r>
          </w:p>
        </w:tc>
        <w:tc>
          <w:tcPr>
            <w:tcW w:w="1426" w:type="dxa"/>
            <w:tcBorders>
              <w:top w:val="outset" w:sz="6" w:space="0" w:color="auto"/>
              <w:left w:val="outset" w:sz="6" w:space="0" w:color="auto"/>
              <w:bottom w:val="outset" w:sz="6" w:space="0" w:color="auto"/>
              <w:right w:val="outset" w:sz="6" w:space="0" w:color="auto"/>
            </w:tcBorders>
            <w:vAlign w:val="center"/>
            <w:hideMark/>
          </w:tcPr>
          <w:p w:rsidR="00963E74" w:rsidRPr="00963E74" w:rsidRDefault="00963E74" w:rsidP="00041943">
            <w:pPr>
              <w:pStyle w:val="textocentralizado"/>
              <w:spacing w:before="120" w:beforeAutospacing="0" w:after="120" w:afterAutospacing="0"/>
              <w:ind w:left="120" w:right="120"/>
              <w:jc w:val="center"/>
              <w:rPr>
                <w:rFonts w:ascii="Arial" w:hAnsi="Arial" w:cs="Arial"/>
                <w:sz w:val="16"/>
                <w:szCs w:val="16"/>
              </w:rPr>
            </w:pPr>
            <w:r w:rsidRPr="00963E74">
              <w:rPr>
                <w:rFonts w:ascii="Arial" w:hAnsi="Arial" w:cs="Arial"/>
                <w:sz w:val="16"/>
                <w:szCs w:val="16"/>
              </w:rPr>
              <w:t>0,8% por dia</w:t>
            </w:r>
          </w:p>
        </w:tc>
      </w:tr>
    </w:tbl>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9.12. </w:t>
      </w:r>
      <w:r w:rsidRPr="00963E74">
        <w:rPr>
          <w:rFonts w:ascii="Arial" w:hAnsi="Arial" w:cs="Arial"/>
          <w:sz w:val="16"/>
          <w:szCs w:val="16"/>
        </w:rPr>
        <w:t>As sanções aqui previstas poderão ser aplicadas concomitantemente, facultada a defesa prévia do interessado, no respectivo processo, no prazo de 05 (cinco) dias úteis.</w:t>
      </w:r>
    </w:p>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9.13. </w:t>
      </w:r>
      <w:r w:rsidRPr="00963E74">
        <w:rPr>
          <w:rFonts w:ascii="Arial" w:hAnsi="Arial" w:cs="Arial"/>
          <w:sz w:val="16"/>
          <w:szCs w:val="16"/>
        </w:rPr>
        <w:t>Após 30 (trinta) dias da falta de execução do objeto, será considerada inexecução total do contrato, o que ensejará a rescisão contratual.</w:t>
      </w:r>
    </w:p>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9.14. </w:t>
      </w:r>
      <w:r w:rsidRPr="00963E74">
        <w:rPr>
          <w:rFonts w:ascii="Arial" w:hAnsi="Arial" w:cs="Arial"/>
          <w:sz w:val="16"/>
          <w:szCs w:val="16"/>
        </w:rPr>
        <w:t>As sanções de natureza pecuniária serão diretamente descontadas de créditos que eventualmente detenha a CONTRATADA ou efetuada a sua cobrança na forma prevista em lei.</w:t>
      </w:r>
    </w:p>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lastRenderedPageBreak/>
        <w:t>9.15. </w:t>
      </w:r>
      <w:r w:rsidRPr="00963E7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9.16. </w:t>
      </w:r>
      <w:r w:rsidRPr="00963E7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9.17. </w:t>
      </w:r>
      <w:r w:rsidRPr="00963E74">
        <w:rPr>
          <w:rFonts w:ascii="Arial" w:hAnsi="Arial" w:cs="Arial"/>
          <w:sz w:val="16"/>
          <w:szCs w:val="16"/>
        </w:rPr>
        <w:t xml:space="preserve">A sanção será obrigatoriamente registrada no Sistema de Cadastramento Unificado de Fornecedores - SICAF, bem como em sistemas </w:t>
      </w:r>
      <w:proofErr w:type="gramStart"/>
      <w:r w:rsidRPr="00963E74">
        <w:rPr>
          <w:rFonts w:ascii="Arial" w:hAnsi="Arial" w:cs="Arial"/>
          <w:sz w:val="16"/>
          <w:szCs w:val="16"/>
        </w:rPr>
        <w:t>Estaduais</w:t>
      </w:r>
      <w:proofErr w:type="gramEnd"/>
    </w:p>
    <w:p w:rsidR="00963E74" w:rsidRP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9.18. </w:t>
      </w:r>
      <w:r w:rsidRPr="00963E7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63E74" w:rsidRPr="00963E74" w:rsidRDefault="00963E74" w:rsidP="00963E74">
      <w:pPr>
        <w:pStyle w:val="textojustificado"/>
        <w:spacing w:before="120" w:beforeAutospacing="0" w:after="120" w:afterAutospacing="0"/>
        <w:ind w:left="120" w:right="120"/>
        <w:jc w:val="both"/>
        <w:rPr>
          <w:rFonts w:ascii="Arial" w:hAnsi="Arial" w:cs="Arial"/>
          <w:sz w:val="16"/>
          <w:szCs w:val="16"/>
        </w:rPr>
      </w:pPr>
      <w:r w:rsidRPr="00963E74">
        <w:rPr>
          <w:rFonts w:ascii="Arial" w:hAnsi="Arial" w:cs="Arial"/>
          <w:sz w:val="16"/>
          <w:szCs w:val="16"/>
        </w:rPr>
        <w:t>a) Tenham sofrido condenações definitivas por praticarem, por meio dolosos, fraude fiscal no recolhimento de tributos;</w:t>
      </w:r>
    </w:p>
    <w:p w:rsidR="00963E74" w:rsidRPr="00963E74" w:rsidRDefault="00963E74" w:rsidP="00963E74">
      <w:pPr>
        <w:pStyle w:val="textojustificado"/>
        <w:spacing w:before="120" w:beforeAutospacing="0" w:after="120" w:afterAutospacing="0"/>
        <w:ind w:left="120" w:right="120"/>
        <w:jc w:val="both"/>
        <w:rPr>
          <w:rFonts w:ascii="Arial" w:hAnsi="Arial" w:cs="Arial"/>
          <w:sz w:val="16"/>
          <w:szCs w:val="16"/>
        </w:rPr>
      </w:pPr>
      <w:proofErr w:type="gramStart"/>
      <w:r w:rsidRPr="00963E74">
        <w:rPr>
          <w:rFonts w:ascii="Arial" w:hAnsi="Arial" w:cs="Arial"/>
          <w:b/>
          <w:bCs/>
          <w:sz w:val="16"/>
          <w:szCs w:val="16"/>
        </w:rPr>
        <w:t>b)</w:t>
      </w:r>
      <w:proofErr w:type="gramEnd"/>
      <w:r w:rsidRPr="00963E74">
        <w:rPr>
          <w:rFonts w:ascii="Arial" w:hAnsi="Arial" w:cs="Arial"/>
          <w:b/>
          <w:bCs/>
          <w:sz w:val="16"/>
          <w:szCs w:val="16"/>
        </w:rPr>
        <w:t> </w:t>
      </w:r>
      <w:r w:rsidRPr="00963E74">
        <w:rPr>
          <w:rFonts w:ascii="Arial" w:hAnsi="Arial" w:cs="Arial"/>
          <w:sz w:val="16"/>
          <w:szCs w:val="16"/>
        </w:rPr>
        <w:t>Tenham praticado atos ilícitos visando a frustrar os objetivos da licitação;</w:t>
      </w:r>
    </w:p>
    <w:p w:rsidR="00963E74" w:rsidRDefault="00963E74" w:rsidP="00963E74">
      <w:pPr>
        <w:pStyle w:val="textojustificado"/>
        <w:spacing w:before="120" w:beforeAutospacing="0" w:after="120" w:afterAutospacing="0"/>
        <w:ind w:left="120" w:right="120"/>
        <w:jc w:val="both"/>
        <w:rPr>
          <w:rFonts w:ascii="Arial" w:hAnsi="Arial" w:cs="Arial"/>
          <w:sz w:val="16"/>
          <w:szCs w:val="16"/>
        </w:rPr>
      </w:pPr>
      <w:proofErr w:type="gramStart"/>
      <w:r w:rsidRPr="00963E74">
        <w:rPr>
          <w:rFonts w:ascii="Arial" w:hAnsi="Arial" w:cs="Arial"/>
          <w:b/>
          <w:bCs/>
          <w:sz w:val="16"/>
          <w:szCs w:val="16"/>
        </w:rPr>
        <w:t>c)</w:t>
      </w:r>
      <w:proofErr w:type="gramEnd"/>
      <w:r w:rsidRPr="00963E74">
        <w:rPr>
          <w:rFonts w:ascii="Arial" w:hAnsi="Arial" w:cs="Arial"/>
          <w:b/>
          <w:bCs/>
          <w:sz w:val="16"/>
          <w:szCs w:val="16"/>
        </w:rPr>
        <w:t> </w:t>
      </w:r>
      <w:r w:rsidRPr="00963E74">
        <w:rPr>
          <w:rFonts w:ascii="Arial" w:hAnsi="Arial" w:cs="Arial"/>
          <w:sz w:val="16"/>
          <w:szCs w:val="16"/>
        </w:rPr>
        <w:t>Demonstrem não possuir idoneidade para contratar com a Administração em virtude de atos ilícitos praticados.</w:t>
      </w:r>
    </w:p>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9.19. </w:t>
      </w:r>
      <w:r w:rsidRPr="00963E74">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9.20. </w:t>
      </w:r>
      <w:r w:rsidRPr="00963E74">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963E74" w:rsidRDefault="00963E74" w:rsidP="00963E74">
      <w:pPr>
        <w:pStyle w:val="textojustificado"/>
        <w:spacing w:before="0" w:beforeAutospacing="0" w:after="0" w:afterAutospacing="0"/>
        <w:ind w:right="120"/>
        <w:jc w:val="both"/>
        <w:rPr>
          <w:rFonts w:ascii="Arial" w:hAnsi="Arial" w:cs="Arial"/>
          <w:sz w:val="16"/>
          <w:szCs w:val="16"/>
        </w:rPr>
      </w:pPr>
      <w:r w:rsidRPr="00963E74">
        <w:rPr>
          <w:rFonts w:ascii="Arial" w:hAnsi="Arial" w:cs="Arial"/>
          <w:b/>
          <w:bCs/>
          <w:sz w:val="16"/>
          <w:szCs w:val="16"/>
        </w:rPr>
        <w:t>9.21. </w:t>
      </w:r>
      <w:r w:rsidRPr="00963E74">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963E74" w:rsidRPr="00963E74" w:rsidRDefault="00963E74" w:rsidP="00963E74">
      <w:pPr>
        <w:pStyle w:val="textojustificado"/>
        <w:spacing w:before="0" w:beforeAutospacing="0" w:after="0" w:afterAutospacing="0"/>
        <w:ind w:right="120"/>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3C0102" w:rsidRDefault="009D2314" w:rsidP="000C24BD">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0C24BD" w:rsidRPr="000C24BD">
        <w:rPr>
          <w:rFonts w:ascii="Arial" w:hAnsi="Arial" w:cs="Arial"/>
          <w:sz w:val="16"/>
          <w:szCs w:val="16"/>
        </w:rPr>
        <w:t xml:space="preserve">É participante desta ata o seguinte órgão pertencente à Administração Pública do Estado de Rondônia: </w:t>
      </w:r>
    </w:p>
    <w:p w:rsidR="00E370C4" w:rsidRPr="003F5233" w:rsidRDefault="00756632" w:rsidP="000C24BD">
      <w:pPr>
        <w:pStyle w:val="Corpodetexto3"/>
        <w:tabs>
          <w:tab w:val="left" w:pos="900"/>
        </w:tabs>
        <w:ind w:right="47"/>
        <w:rPr>
          <w:rFonts w:ascii="Arial" w:hAnsi="Arial" w:cs="Arial"/>
          <w:color w:val="000000" w:themeColor="text1"/>
          <w:sz w:val="16"/>
          <w:szCs w:val="16"/>
        </w:rPr>
      </w:pPr>
      <w:r w:rsidRPr="003F5233">
        <w:rPr>
          <w:rFonts w:ascii="Arial" w:hAnsi="Arial" w:cs="Arial"/>
          <w:b/>
          <w:color w:val="000000" w:themeColor="text1"/>
          <w:sz w:val="16"/>
          <w:szCs w:val="16"/>
        </w:rPr>
        <w:t>SE</w:t>
      </w:r>
      <w:r w:rsidR="00F864AC" w:rsidRPr="003F5233">
        <w:rPr>
          <w:rFonts w:ascii="Arial" w:hAnsi="Arial" w:cs="Arial"/>
          <w:b/>
          <w:color w:val="000000" w:themeColor="text1"/>
          <w:sz w:val="16"/>
          <w:szCs w:val="16"/>
        </w:rPr>
        <w:t>DUC</w:t>
      </w:r>
      <w:r w:rsidRPr="003F5233">
        <w:rPr>
          <w:rFonts w:ascii="Arial" w:hAnsi="Arial" w:cs="Arial"/>
          <w:color w:val="000000" w:themeColor="text1"/>
          <w:sz w:val="16"/>
          <w:szCs w:val="16"/>
        </w:rPr>
        <w:t xml:space="preserve"> – Secretaria de Estado da </w:t>
      </w:r>
      <w:r w:rsidR="00F864AC" w:rsidRPr="003F5233">
        <w:rPr>
          <w:rFonts w:ascii="Arial" w:hAnsi="Arial" w:cs="Arial"/>
          <w:color w:val="000000" w:themeColor="text1"/>
          <w:sz w:val="16"/>
          <w:szCs w:val="16"/>
        </w:rPr>
        <w:t>Educação</w:t>
      </w:r>
      <w:r w:rsidRPr="003F5233">
        <w:rPr>
          <w:rFonts w:ascii="Arial" w:hAnsi="Arial" w:cs="Arial"/>
          <w:color w:val="000000" w:themeColor="text1"/>
          <w:sz w:val="16"/>
          <w:szCs w:val="16"/>
        </w:rPr>
        <w:t>.</w:t>
      </w:r>
    </w:p>
    <w:p w:rsidR="000C24BD" w:rsidRPr="00E75D2B" w:rsidRDefault="000C24BD" w:rsidP="000C24BD">
      <w:pPr>
        <w:pStyle w:val="Corpodetexto3"/>
        <w:tabs>
          <w:tab w:val="left" w:pos="900"/>
        </w:tabs>
        <w:ind w:right="47"/>
        <w:rPr>
          <w:rFonts w:ascii="Arial" w:hAnsi="Arial"/>
          <w:color w:val="FF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lastRenderedPageBreak/>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390F3C">
        <w:rPr>
          <w:rFonts w:ascii="Arial" w:hAnsi="Arial" w:cs="Arial"/>
          <w:b/>
          <w:sz w:val="16"/>
          <w:szCs w:val="16"/>
        </w:rPr>
        <w:t>MARCIA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w:t>
      </w:r>
      <w:r w:rsidR="00390F3C">
        <w:rPr>
          <w:rFonts w:ascii="Arial" w:hAnsi="Arial" w:cs="Arial"/>
          <w:bCs/>
          <w:color w:val="000000"/>
          <w:sz w:val="16"/>
          <w:szCs w:val="16"/>
        </w:rPr>
        <w:t>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Pr="003F5233" w:rsidRDefault="006F2C3D" w:rsidP="00526790">
      <w:pPr>
        <w:ind w:right="47"/>
        <w:jc w:val="both"/>
        <w:rPr>
          <w:rFonts w:ascii="Arial" w:hAnsi="Arial" w:cs="Arial"/>
          <w:b/>
          <w:bCs/>
          <w:color w:val="000000" w:themeColor="text1"/>
          <w:sz w:val="16"/>
          <w:szCs w:val="16"/>
        </w:rPr>
      </w:pPr>
    </w:p>
    <w:p w:rsidR="00C50BF7" w:rsidRPr="003F5233" w:rsidRDefault="003F5233" w:rsidP="00526790">
      <w:pPr>
        <w:ind w:right="47"/>
        <w:jc w:val="both"/>
        <w:rPr>
          <w:rFonts w:ascii="Arial" w:hAnsi="Arial" w:cs="Arial"/>
          <w:b/>
          <w:bCs/>
          <w:color w:val="000000" w:themeColor="text1"/>
          <w:sz w:val="10"/>
          <w:szCs w:val="10"/>
        </w:rPr>
      </w:pPr>
      <w:r>
        <w:rPr>
          <w:rFonts w:ascii="Arial" w:hAnsi="Arial" w:cs="Arial"/>
          <w:b/>
          <w:bCs/>
          <w:color w:val="000000" w:themeColor="text1"/>
          <w:sz w:val="10"/>
          <w:szCs w:val="10"/>
        </w:rPr>
        <w:t>FBM</w:t>
      </w:r>
      <w:r w:rsidR="002660D3" w:rsidRPr="003F5233">
        <w:rPr>
          <w:rFonts w:ascii="Arial" w:hAnsi="Arial" w:cs="Arial"/>
          <w:b/>
          <w:bCs/>
          <w:color w:val="000000" w:themeColor="text1"/>
          <w:sz w:val="10"/>
          <w:szCs w:val="10"/>
        </w:rPr>
        <w:t>/</w:t>
      </w:r>
      <w:r w:rsidR="00BA5836" w:rsidRPr="003F5233">
        <w:rPr>
          <w:rFonts w:ascii="Arial" w:hAnsi="Arial" w:cs="Arial"/>
          <w:b/>
          <w:bCs/>
          <w:color w:val="000000" w:themeColor="text1"/>
          <w:sz w:val="10"/>
          <w:szCs w:val="10"/>
        </w:rPr>
        <w:t>SRP</w:t>
      </w:r>
      <w:bookmarkEnd w:id="1"/>
    </w:p>
    <w:sectPr w:rsidR="00C50BF7" w:rsidRPr="003F523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45B8B"/>
    <w:multiLevelType w:val="multilevel"/>
    <w:tmpl w:val="42E26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0F408E"/>
    <w:multiLevelType w:val="multilevel"/>
    <w:tmpl w:val="9198D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8C7452"/>
    <w:multiLevelType w:val="multilevel"/>
    <w:tmpl w:val="7498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3B4213F9"/>
    <w:multiLevelType w:val="multilevel"/>
    <w:tmpl w:val="C9F2D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0">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2">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0">
    <w:nsid w:val="54DB1FD0"/>
    <w:multiLevelType w:val="multilevel"/>
    <w:tmpl w:val="69E85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3EB4E9C"/>
    <w:multiLevelType w:val="multilevel"/>
    <w:tmpl w:val="0B0A0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21"/>
  </w:num>
  <w:num w:numId="3">
    <w:abstractNumId w:val="19"/>
  </w:num>
  <w:num w:numId="4">
    <w:abstractNumId w:val="17"/>
  </w:num>
  <w:num w:numId="5">
    <w:abstractNumId w:val="32"/>
  </w:num>
  <w:num w:numId="6">
    <w:abstractNumId w:val="15"/>
    <w:lvlOverride w:ilvl="0">
      <w:startOverride w:val="2"/>
    </w:lvlOverride>
  </w:num>
  <w:num w:numId="7">
    <w:abstractNumId w:val="27"/>
    <w:lvlOverride w:ilvl="0">
      <w:startOverride w:val="3"/>
    </w:lvlOverride>
  </w:num>
  <w:num w:numId="8">
    <w:abstractNumId w:val="3"/>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8"/>
    <w:lvlOverride w:ilvl="0">
      <w:startOverride w:val="7"/>
    </w:lvlOverride>
  </w:num>
  <w:num w:numId="12">
    <w:abstractNumId w:val="9"/>
    <w:lvlOverride w:ilvl="0">
      <w:startOverride w:val="8"/>
    </w:lvlOverride>
  </w:num>
  <w:num w:numId="13">
    <w:abstractNumId w:val="34"/>
    <w:lvlOverride w:ilvl="0">
      <w:startOverride w:val="9"/>
    </w:lvlOverride>
  </w:num>
  <w:num w:numId="14">
    <w:abstractNumId w:val="5"/>
    <w:lvlOverride w:ilvl="0">
      <w:startOverride w:val="10"/>
    </w:lvlOverride>
  </w:num>
  <w:num w:numId="15">
    <w:abstractNumId w:val="26"/>
    <w:lvlOverride w:ilvl="0">
      <w:startOverride w:val="11"/>
    </w:lvlOverride>
  </w:num>
  <w:num w:numId="16">
    <w:abstractNumId w:val="14"/>
  </w:num>
  <w:num w:numId="17">
    <w:abstractNumId w:val="43"/>
    <w:lvlOverride w:ilvl="0">
      <w:startOverride w:val="2"/>
    </w:lvlOverride>
  </w:num>
  <w:num w:numId="18">
    <w:abstractNumId w:val="42"/>
    <w:lvlOverride w:ilvl="0">
      <w:startOverride w:val="3"/>
    </w:lvlOverride>
  </w:num>
  <w:num w:numId="19">
    <w:abstractNumId w:val="40"/>
    <w:lvlOverride w:ilvl="0">
      <w:startOverride w:val="4"/>
    </w:lvlOverride>
  </w:num>
  <w:num w:numId="20">
    <w:abstractNumId w:val="23"/>
    <w:lvlOverride w:ilvl="0">
      <w:startOverride w:val="5"/>
    </w:lvlOverride>
  </w:num>
  <w:num w:numId="21">
    <w:abstractNumId w:val="25"/>
    <w:lvlOverride w:ilvl="0">
      <w:startOverride w:val="6"/>
    </w:lvlOverride>
  </w:num>
  <w:num w:numId="22">
    <w:abstractNumId w:val="38"/>
    <w:lvlOverride w:ilvl="0">
      <w:startOverride w:val="7"/>
    </w:lvlOverride>
  </w:num>
  <w:num w:numId="23">
    <w:abstractNumId w:val="31"/>
    <w:lvlOverride w:ilvl="0">
      <w:startOverride w:val="8"/>
    </w:lvlOverride>
  </w:num>
  <w:num w:numId="24">
    <w:abstractNumId w:val="24"/>
    <w:lvlOverride w:ilvl="0">
      <w:startOverride w:val="9"/>
    </w:lvlOverride>
  </w:num>
  <w:num w:numId="25">
    <w:abstractNumId w:val="16"/>
    <w:lvlOverride w:ilvl="0">
      <w:startOverride w:val="10"/>
    </w:lvlOverride>
  </w:num>
  <w:num w:numId="26">
    <w:abstractNumId w:val="2"/>
    <w:lvlOverride w:ilvl="0">
      <w:startOverride w:val="11"/>
    </w:lvlOverride>
  </w:num>
  <w:num w:numId="27">
    <w:abstractNumId w:val="10"/>
  </w:num>
  <w:num w:numId="28">
    <w:abstractNumId w:val="35"/>
    <w:lvlOverride w:ilvl="0">
      <w:startOverride w:val="2"/>
    </w:lvlOverride>
  </w:num>
  <w:num w:numId="29">
    <w:abstractNumId w:val="39"/>
    <w:lvlOverride w:ilvl="0">
      <w:startOverride w:val="3"/>
    </w:lvlOverride>
  </w:num>
  <w:num w:numId="30">
    <w:abstractNumId w:val="13"/>
    <w:lvlOverride w:ilvl="0">
      <w:startOverride w:val="4"/>
    </w:lvlOverride>
  </w:num>
  <w:num w:numId="31">
    <w:abstractNumId w:val="12"/>
    <w:lvlOverride w:ilvl="0">
      <w:startOverride w:val="5"/>
    </w:lvlOverride>
  </w:num>
  <w:num w:numId="32">
    <w:abstractNumId w:val="33"/>
    <w:lvlOverride w:ilvl="0">
      <w:startOverride w:val="6"/>
    </w:lvlOverride>
  </w:num>
  <w:num w:numId="33">
    <w:abstractNumId w:val="36"/>
    <w:lvlOverride w:ilvl="0">
      <w:startOverride w:val="7"/>
    </w:lvlOverride>
  </w:num>
  <w:num w:numId="34">
    <w:abstractNumId w:val="22"/>
    <w:lvlOverride w:ilvl="0">
      <w:startOverride w:val="8"/>
    </w:lvlOverride>
  </w:num>
  <w:num w:numId="35">
    <w:abstractNumId w:val="4"/>
    <w:lvlOverride w:ilvl="0">
      <w:startOverride w:val="9"/>
    </w:lvlOverride>
  </w:num>
  <w:num w:numId="36">
    <w:abstractNumId w:val="37"/>
    <w:lvlOverride w:ilvl="0">
      <w:startOverride w:val="10"/>
    </w:lvlOverride>
  </w:num>
  <w:num w:numId="37">
    <w:abstractNumId w:val="20"/>
    <w:lvlOverride w:ilvl="0">
      <w:startOverride w:val="11"/>
    </w:lvlOverride>
  </w:num>
  <w:num w:numId="38">
    <w:abstractNumId w:val="41"/>
  </w:num>
  <w:num w:numId="39">
    <w:abstractNumId w:val="8"/>
    <w:lvlOverride w:ilvl="0">
      <w:startOverride w:val="2"/>
    </w:lvlOverride>
  </w:num>
  <w:num w:numId="40">
    <w:abstractNumId w:val="11"/>
    <w:lvlOverride w:ilvl="0">
      <w:startOverride w:val="3"/>
    </w:lvlOverride>
  </w:num>
  <w:num w:numId="41">
    <w:abstractNumId w:val="18"/>
    <w:lvlOverride w:ilvl="0">
      <w:startOverride w:val="4"/>
    </w:lvlOverride>
  </w:num>
  <w:num w:numId="42">
    <w:abstractNumId w:val="30"/>
    <w:lvlOverride w:ilvl="0">
      <w:startOverride w:val="5"/>
    </w:lvlOverride>
  </w:num>
  <w:num w:numId="43">
    <w:abstractNumId w:val="1"/>
    <w:lvlOverride w:ilvl="0">
      <w:startOverride w:val="6"/>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36FC"/>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4BD"/>
    <w:rsid w:val="000C6CDD"/>
    <w:rsid w:val="000D04E2"/>
    <w:rsid w:val="000D6832"/>
    <w:rsid w:val="000E1460"/>
    <w:rsid w:val="000E1818"/>
    <w:rsid w:val="000E23F6"/>
    <w:rsid w:val="000E5928"/>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0C30"/>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D7E54"/>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52F9"/>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349"/>
    <w:rsid w:val="003721B4"/>
    <w:rsid w:val="003725DB"/>
    <w:rsid w:val="003751B5"/>
    <w:rsid w:val="003820A7"/>
    <w:rsid w:val="003820D4"/>
    <w:rsid w:val="003860D7"/>
    <w:rsid w:val="0039010C"/>
    <w:rsid w:val="00390F3C"/>
    <w:rsid w:val="00392D8D"/>
    <w:rsid w:val="00395C4B"/>
    <w:rsid w:val="003977B2"/>
    <w:rsid w:val="00397D1E"/>
    <w:rsid w:val="003A2E4C"/>
    <w:rsid w:val="003A40B9"/>
    <w:rsid w:val="003A4DB9"/>
    <w:rsid w:val="003B4751"/>
    <w:rsid w:val="003B4B40"/>
    <w:rsid w:val="003B4FB5"/>
    <w:rsid w:val="003B608D"/>
    <w:rsid w:val="003B68BB"/>
    <w:rsid w:val="003C0102"/>
    <w:rsid w:val="003C3A9C"/>
    <w:rsid w:val="003C7ECE"/>
    <w:rsid w:val="003D2D98"/>
    <w:rsid w:val="003D6E59"/>
    <w:rsid w:val="003E2102"/>
    <w:rsid w:val="003E29C7"/>
    <w:rsid w:val="003F258C"/>
    <w:rsid w:val="003F523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20FB"/>
    <w:rsid w:val="00424A71"/>
    <w:rsid w:val="0042517E"/>
    <w:rsid w:val="00425C72"/>
    <w:rsid w:val="00425D13"/>
    <w:rsid w:val="00430B87"/>
    <w:rsid w:val="0043293A"/>
    <w:rsid w:val="004330D7"/>
    <w:rsid w:val="00433B03"/>
    <w:rsid w:val="004370A2"/>
    <w:rsid w:val="004451DF"/>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2569"/>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C7E29"/>
    <w:rsid w:val="005D06A3"/>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86D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083C"/>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632"/>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010"/>
    <w:rsid w:val="007F6222"/>
    <w:rsid w:val="007F65D5"/>
    <w:rsid w:val="007F679C"/>
    <w:rsid w:val="007F752C"/>
    <w:rsid w:val="008012DE"/>
    <w:rsid w:val="00805FA4"/>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6C20"/>
    <w:rsid w:val="00937D1C"/>
    <w:rsid w:val="00937E9F"/>
    <w:rsid w:val="00941201"/>
    <w:rsid w:val="009453B9"/>
    <w:rsid w:val="0095479C"/>
    <w:rsid w:val="00960948"/>
    <w:rsid w:val="0096128C"/>
    <w:rsid w:val="00963E74"/>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9CE"/>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58A"/>
    <w:rsid w:val="00AD47CE"/>
    <w:rsid w:val="00AE111F"/>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302F"/>
    <w:rsid w:val="00BA4420"/>
    <w:rsid w:val="00BA56D6"/>
    <w:rsid w:val="00BA5836"/>
    <w:rsid w:val="00BA5F6C"/>
    <w:rsid w:val="00BA6ABA"/>
    <w:rsid w:val="00BA6F41"/>
    <w:rsid w:val="00BA7105"/>
    <w:rsid w:val="00BA7481"/>
    <w:rsid w:val="00BA77B1"/>
    <w:rsid w:val="00BB1491"/>
    <w:rsid w:val="00BB3F4D"/>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2F95"/>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062"/>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64825"/>
    <w:rsid w:val="00E70791"/>
    <w:rsid w:val="00E717DD"/>
    <w:rsid w:val="00E71CF0"/>
    <w:rsid w:val="00E727D5"/>
    <w:rsid w:val="00E72C3A"/>
    <w:rsid w:val="00E732A9"/>
    <w:rsid w:val="00E746DF"/>
    <w:rsid w:val="00E75D2B"/>
    <w:rsid w:val="00E82754"/>
    <w:rsid w:val="00E8286B"/>
    <w:rsid w:val="00E93F3F"/>
    <w:rsid w:val="00E94593"/>
    <w:rsid w:val="00EA17EC"/>
    <w:rsid w:val="00EA41FE"/>
    <w:rsid w:val="00EA5A9F"/>
    <w:rsid w:val="00EB4B2B"/>
    <w:rsid w:val="00EC12CE"/>
    <w:rsid w:val="00EC31DB"/>
    <w:rsid w:val="00EC3592"/>
    <w:rsid w:val="00EC3964"/>
    <w:rsid w:val="00EC488E"/>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37C39"/>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864AC"/>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40F2"/>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character" w:customStyle="1" w:styleId="NormalWebChar1">
    <w:name w:val="Normal (Web) Char1"/>
    <w:aliases w:val="Normal (Web) Char Char"/>
    <w:uiPriority w:val="99"/>
    <w:rsid w:val="00D63062"/>
    <w:rPr>
      <w:sz w:val="24"/>
    </w:rPr>
  </w:style>
  <w:style w:type="character" w:customStyle="1" w:styleId="CharChar7">
    <w:name w:val=" Char Char7"/>
    <w:rsid w:val="00BF2F95"/>
    <w:rPr>
      <w:sz w:val="24"/>
      <w:szCs w:val="24"/>
    </w:rPr>
  </w:style>
  <w:style w:type="paragraph" w:customStyle="1" w:styleId="textocentralizado">
    <w:name w:val="texto_centralizado"/>
    <w:basedOn w:val="Normal"/>
    <w:rsid w:val="00963E7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43B09-3912-4CA6-93CD-C26EF27D1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3184</Words>
  <Characters>18300</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12</cp:revision>
  <cp:lastPrinted>2018-10-25T15:03:00Z</cp:lastPrinted>
  <dcterms:created xsi:type="dcterms:W3CDTF">2018-12-05T16:32:00Z</dcterms:created>
  <dcterms:modified xsi:type="dcterms:W3CDTF">2019-01-04T17:36:00Z</dcterms:modified>
</cp:coreProperties>
</file>