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76E64">
        <w:rPr>
          <w:rFonts w:ascii="Arial" w:hAnsi="Arial" w:cs="Arial"/>
          <w:b/>
          <w:sz w:val="16"/>
          <w:szCs w:val="16"/>
        </w:rPr>
        <w:t>2</w:t>
      </w:r>
      <w:r w:rsidR="00640DDE">
        <w:rPr>
          <w:rFonts w:ascii="Arial" w:hAnsi="Arial" w:cs="Arial"/>
          <w:b/>
          <w:sz w:val="16"/>
          <w:szCs w:val="16"/>
        </w:rPr>
        <w:t>81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w:t>
      </w:r>
      <w:r w:rsidR="00576E64">
        <w:rPr>
          <w:rFonts w:ascii="Arial" w:hAnsi="Arial" w:cs="Arial"/>
          <w:b/>
          <w:bCs/>
          <w:sz w:val="16"/>
          <w:szCs w:val="16"/>
        </w:rPr>
        <w:t xml:space="preserve"> </w:t>
      </w:r>
      <w:r w:rsidR="00640DDE">
        <w:rPr>
          <w:rFonts w:ascii="Arial" w:hAnsi="Arial" w:cs="Arial"/>
          <w:b/>
          <w:bCs/>
          <w:sz w:val="16"/>
          <w:szCs w:val="16"/>
        </w:rPr>
        <w:t>258</w:t>
      </w:r>
      <w:r w:rsidR="005925DA">
        <w:rPr>
          <w:rFonts w:ascii="Arial" w:hAnsi="Arial" w:cs="Arial"/>
          <w:b/>
          <w:bCs/>
          <w:sz w:val="16"/>
          <w:szCs w:val="16"/>
        </w:rPr>
        <w:t>/201</w:t>
      </w:r>
      <w:r w:rsidR="00640DDE">
        <w:rPr>
          <w:rFonts w:ascii="Arial" w:hAnsi="Arial" w:cs="Arial"/>
          <w:b/>
          <w:bCs/>
          <w:sz w:val="16"/>
          <w:szCs w:val="16"/>
        </w:rPr>
        <w:t>8</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640DDE" w:rsidRPr="00640DDE">
        <w:rPr>
          <w:rFonts w:ascii="Arial" w:hAnsi="Arial" w:cs="Arial"/>
          <w:b/>
          <w:bCs/>
          <w:sz w:val="16"/>
          <w:szCs w:val="16"/>
        </w:rPr>
        <w:t>0049.076019/2018-16</w:t>
      </w:r>
    </w:p>
    <w:p w:rsidR="00B86923" w:rsidRPr="00FF1F0B" w:rsidRDefault="00B86923" w:rsidP="00B17611">
      <w:pPr>
        <w:jc w:val="both"/>
        <w:rPr>
          <w:rFonts w:ascii="Arial" w:hAnsi="Arial" w:cs="Arial"/>
          <w:b/>
          <w:sz w:val="16"/>
          <w:szCs w:val="16"/>
        </w:rPr>
      </w:pPr>
    </w:p>
    <w:p w:rsidR="009D2314" w:rsidRPr="00462DCC"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462DCC">
        <w:rPr>
          <w:rFonts w:ascii="Arial" w:hAnsi="Arial" w:cs="Arial"/>
          <w:color w:val="000000" w:themeColor="text1"/>
          <w:sz w:val="16"/>
          <w:szCs w:val="16"/>
        </w:rPr>
        <w:t>FARQUAR N° 2986 COMPLEXO RIO MADEIRA EDIFÍCIO</w:t>
      </w:r>
      <w:r w:rsidR="00624815" w:rsidRPr="00462DCC">
        <w:rPr>
          <w:rFonts w:ascii="Arial" w:hAnsi="Arial" w:cs="Arial"/>
          <w:color w:val="000000" w:themeColor="text1"/>
          <w:sz w:val="16"/>
          <w:szCs w:val="16"/>
        </w:rPr>
        <w:t xml:space="preserve">, </w:t>
      </w:r>
      <w:r w:rsidRPr="00462DCC">
        <w:rPr>
          <w:rFonts w:ascii="Arial" w:hAnsi="Arial" w:cs="Arial"/>
          <w:color w:val="000000" w:themeColor="text1"/>
          <w:sz w:val="16"/>
          <w:szCs w:val="16"/>
        </w:rPr>
        <w:t xml:space="preserve">RIO </w:t>
      </w:r>
      <w:r w:rsidR="00DE2D9B" w:rsidRPr="00462DCC">
        <w:rPr>
          <w:rFonts w:ascii="Arial" w:hAnsi="Arial" w:cs="Arial"/>
          <w:color w:val="000000" w:themeColor="text1"/>
          <w:sz w:val="16"/>
          <w:szCs w:val="16"/>
        </w:rPr>
        <w:t>PACAÁS NOVOS 2</w:t>
      </w:r>
      <w:r w:rsidRPr="00462DCC">
        <w:rPr>
          <w:rFonts w:ascii="Arial" w:hAnsi="Arial" w:cs="Arial"/>
          <w:color w:val="000000" w:themeColor="text1"/>
          <w:sz w:val="16"/>
          <w:szCs w:val="16"/>
        </w:rPr>
        <w:t xml:space="preserve">º ANDAR – BAIRRO: PEDRINHAS, neste ato </w:t>
      </w:r>
      <w:r w:rsidRPr="00462DCC">
        <w:rPr>
          <w:rFonts w:ascii="Arial" w:hAnsi="Arial" w:cs="Arial"/>
          <w:color w:val="000000"/>
          <w:sz w:val="16"/>
          <w:szCs w:val="16"/>
        </w:rPr>
        <w:t>representado pelo Superintendente da SUPEL, Senhor Márcio Rogério Gabriel e a(s) empresa(s) qualificada(s) no</w:t>
      </w:r>
      <w:r w:rsidR="00190648" w:rsidRPr="00462DCC">
        <w:rPr>
          <w:rFonts w:ascii="Arial" w:hAnsi="Arial" w:cs="Arial"/>
          <w:color w:val="000000"/>
          <w:sz w:val="16"/>
          <w:szCs w:val="16"/>
        </w:rPr>
        <w:t xml:space="preserve"> Anexo Único desta Ata, resolvem</w:t>
      </w:r>
      <w:r w:rsidRPr="00462DCC">
        <w:rPr>
          <w:rFonts w:ascii="Arial" w:hAnsi="Arial" w:cs="Arial"/>
          <w:color w:val="000000"/>
          <w:sz w:val="16"/>
          <w:szCs w:val="16"/>
        </w:rPr>
        <w:t xml:space="preserve"> </w:t>
      </w:r>
      <w:r w:rsidRPr="00462DCC">
        <w:rPr>
          <w:rFonts w:ascii="Arial" w:hAnsi="Arial" w:cs="Arial"/>
          <w:b/>
          <w:color w:val="000000"/>
          <w:sz w:val="16"/>
          <w:szCs w:val="16"/>
        </w:rPr>
        <w:t>REGISTRAR O PREÇ</w:t>
      </w:r>
      <w:r w:rsidR="00F17DD3" w:rsidRPr="00462DCC">
        <w:rPr>
          <w:rFonts w:ascii="Arial" w:hAnsi="Arial" w:cs="Arial"/>
          <w:b/>
          <w:color w:val="000000"/>
          <w:sz w:val="16"/>
          <w:szCs w:val="16"/>
        </w:rPr>
        <w:t>O</w:t>
      </w:r>
      <w:r w:rsidR="007F65D5" w:rsidRPr="00462DCC">
        <w:rPr>
          <w:rFonts w:ascii="Arial" w:hAnsi="Arial" w:cs="Arial"/>
          <w:color w:val="000000"/>
          <w:sz w:val="16"/>
          <w:szCs w:val="16"/>
        </w:rPr>
        <w:t xml:space="preserve"> </w:t>
      </w:r>
      <w:r w:rsidR="00640DDE" w:rsidRPr="00640DDE">
        <w:rPr>
          <w:rFonts w:ascii="Arial" w:hAnsi="Arial" w:cs="Arial"/>
          <w:color w:val="000000"/>
          <w:sz w:val="16"/>
          <w:szCs w:val="16"/>
        </w:rPr>
        <w:t>para futura e eventual aquisição de Material de Consumo (Urologia), fracassados no PE 142/2017, visando atender as necessidades do Setor de Urologia deste Hospital de Base "Dr. Ary Pinheiro" HBAP/SESAU/RO</w:t>
      </w:r>
      <w:r w:rsidR="003A6A80" w:rsidRPr="00462DCC">
        <w:rPr>
          <w:rFonts w:ascii="Arial" w:hAnsi="Arial" w:cs="Arial"/>
          <w:color w:val="000000"/>
          <w:sz w:val="16"/>
          <w:szCs w:val="16"/>
        </w:rPr>
        <w:t xml:space="preserve">, </w:t>
      </w:r>
      <w:r w:rsidRPr="00462DCC">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62DCC">
        <w:rPr>
          <w:rFonts w:ascii="Arial" w:hAnsi="Arial" w:cs="Arial"/>
          <w:color w:val="000000"/>
          <w:sz w:val="16"/>
          <w:szCs w:val="16"/>
        </w:rPr>
        <w:t>8.340/13</w:t>
      </w:r>
      <w:r w:rsidRPr="00462DCC">
        <w:rPr>
          <w:rFonts w:ascii="Arial" w:hAnsi="Arial" w:cs="Arial"/>
          <w:color w:val="000000"/>
          <w:sz w:val="16"/>
          <w:szCs w:val="16"/>
        </w:rPr>
        <w:t xml:space="preserve"> e suas alterações e em conformidade com as disposições a seguir.</w:t>
      </w:r>
    </w:p>
    <w:p w:rsidR="009D2314" w:rsidRPr="00462DCC" w:rsidRDefault="009D2314" w:rsidP="008A7686">
      <w:pPr>
        <w:rPr>
          <w:rFonts w:ascii="Arial" w:hAnsi="Arial" w:cs="Arial"/>
          <w:sz w:val="16"/>
          <w:szCs w:val="16"/>
        </w:rPr>
      </w:pPr>
    </w:p>
    <w:p w:rsidR="006D1053" w:rsidRPr="00462DCC" w:rsidRDefault="00AC6A94" w:rsidP="00AC6A94">
      <w:pPr>
        <w:jc w:val="both"/>
        <w:rPr>
          <w:rFonts w:ascii="Arial" w:hAnsi="Arial" w:cs="Arial"/>
          <w:b/>
          <w:bCs/>
          <w:sz w:val="16"/>
          <w:szCs w:val="16"/>
        </w:rPr>
      </w:pPr>
      <w:r w:rsidRPr="00462DCC">
        <w:rPr>
          <w:rFonts w:ascii="Arial" w:hAnsi="Arial" w:cs="Arial"/>
          <w:b/>
          <w:bCs/>
          <w:sz w:val="16"/>
          <w:szCs w:val="16"/>
        </w:rPr>
        <w:t>1. D</w:t>
      </w:r>
      <w:r w:rsidR="009D2314" w:rsidRPr="00462DCC">
        <w:rPr>
          <w:rFonts w:ascii="Arial" w:hAnsi="Arial" w:cs="Arial"/>
          <w:b/>
          <w:bCs/>
          <w:sz w:val="16"/>
          <w:szCs w:val="16"/>
        </w:rPr>
        <w:t>O OBJETO</w:t>
      </w:r>
      <w:r w:rsidR="00CE0078" w:rsidRPr="00462DCC">
        <w:rPr>
          <w:rFonts w:ascii="Arial" w:hAnsi="Arial" w:cs="Arial"/>
          <w:b/>
          <w:bCs/>
          <w:sz w:val="16"/>
          <w:szCs w:val="16"/>
        </w:rPr>
        <w:t xml:space="preserve"> </w:t>
      </w:r>
    </w:p>
    <w:p w:rsidR="004741FB" w:rsidRPr="00462DCC" w:rsidRDefault="007F65D5" w:rsidP="004741FB">
      <w:pPr>
        <w:ind w:right="-1"/>
        <w:jc w:val="both"/>
        <w:rPr>
          <w:rFonts w:ascii="Arial" w:hAnsi="Arial" w:cs="Arial"/>
          <w:b/>
          <w:sz w:val="16"/>
          <w:szCs w:val="16"/>
        </w:rPr>
      </w:pPr>
      <w:r w:rsidRPr="00462DCC">
        <w:rPr>
          <w:rFonts w:ascii="Arial" w:hAnsi="Arial" w:cs="Arial"/>
          <w:sz w:val="16"/>
          <w:szCs w:val="16"/>
        </w:rPr>
        <w:t xml:space="preserve">REGISTRO DE PREÇO </w:t>
      </w:r>
      <w:r w:rsidR="00640DDE" w:rsidRPr="00640DDE">
        <w:rPr>
          <w:rFonts w:ascii="Arial" w:hAnsi="Arial" w:cs="Arial"/>
          <w:color w:val="000000"/>
          <w:sz w:val="16"/>
          <w:szCs w:val="16"/>
        </w:rPr>
        <w:t>para futura e eventual aquisição de Material de Consumo (Urologia), fracassados no PE 142/2017, visando atender as necessidades do Setor de Urologia deste Hospital de Base "Dr. Ary Pinheiro" HBAP/SESAU/RO</w:t>
      </w:r>
      <w:r w:rsidR="00640DDE">
        <w:rPr>
          <w:rFonts w:ascii="Arial" w:hAnsi="Arial" w:cs="Arial"/>
          <w:color w:val="000000"/>
          <w:sz w:val="16"/>
          <w:szCs w:val="16"/>
        </w:rPr>
        <w:t>.</w:t>
      </w:r>
    </w:p>
    <w:p w:rsidR="00A213DA" w:rsidRPr="00462DCC"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62DCC" w:rsidRDefault="00206244" w:rsidP="00462DCC">
      <w:pPr>
        <w:rPr>
          <w:rFonts w:ascii="Arial" w:hAnsi="Arial" w:cs="Arial"/>
          <w:sz w:val="16"/>
          <w:szCs w:val="16"/>
        </w:rPr>
      </w:pPr>
      <w:r w:rsidRPr="00462DCC">
        <w:rPr>
          <w:rFonts w:ascii="Arial" w:hAnsi="Arial" w:cs="Arial"/>
          <w:b/>
          <w:sz w:val="16"/>
          <w:szCs w:val="16"/>
        </w:rPr>
        <w:t>6.2.</w:t>
      </w:r>
      <w:r w:rsidRPr="00462D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01320" w:rsidRPr="00462DCC" w:rsidRDefault="00EC29F9" w:rsidP="00462DCC">
      <w:pPr>
        <w:rPr>
          <w:rFonts w:ascii="Arial" w:hAnsi="Arial" w:cs="Arial"/>
          <w:sz w:val="16"/>
          <w:szCs w:val="16"/>
        </w:rPr>
      </w:pPr>
      <w:r w:rsidRPr="00462DCC">
        <w:rPr>
          <w:rFonts w:ascii="Arial" w:hAnsi="Arial" w:cs="Arial"/>
          <w:b/>
          <w:sz w:val="16"/>
          <w:szCs w:val="16"/>
        </w:rPr>
        <w:t>6.3.</w:t>
      </w:r>
      <w:r w:rsidRPr="00462DCC">
        <w:rPr>
          <w:rFonts w:ascii="Arial" w:hAnsi="Arial" w:cs="Arial"/>
          <w:sz w:val="16"/>
          <w:szCs w:val="16"/>
        </w:rPr>
        <w:t xml:space="preserve"> </w:t>
      </w:r>
      <w:r w:rsidRPr="00462DCC">
        <w:rPr>
          <w:rFonts w:ascii="Arial" w:hAnsi="Arial" w:cs="Arial"/>
          <w:b/>
          <w:sz w:val="16"/>
          <w:szCs w:val="16"/>
        </w:rPr>
        <w:t>DO</w:t>
      </w:r>
      <w:r w:rsidRPr="00462DCC">
        <w:rPr>
          <w:rFonts w:ascii="Arial" w:hAnsi="Arial" w:cs="Arial"/>
          <w:sz w:val="16"/>
          <w:szCs w:val="16"/>
        </w:rPr>
        <w:t xml:space="preserve"> </w:t>
      </w:r>
      <w:r w:rsidRPr="00462DCC">
        <w:rPr>
          <w:rFonts w:ascii="Arial" w:hAnsi="Arial" w:cs="Arial"/>
          <w:b/>
          <w:sz w:val="16"/>
          <w:szCs w:val="16"/>
        </w:rPr>
        <w:t>PRAZO</w:t>
      </w:r>
      <w:r w:rsidRPr="00462DCC">
        <w:rPr>
          <w:rFonts w:ascii="Arial" w:hAnsi="Arial" w:cs="Arial"/>
          <w:sz w:val="16"/>
          <w:szCs w:val="16"/>
        </w:rPr>
        <w:t xml:space="preserve"> </w:t>
      </w:r>
      <w:r w:rsidRPr="00462DCC">
        <w:rPr>
          <w:rFonts w:ascii="Arial" w:hAnsi="Arial" w:cs="Arial"/>
          <w:b/>
          <w:sz w:val="16"/>
          <w:szCs w:val="16"/>
        </w:rPr>
        <w:t>DE</w:t>
      </w:r>
      <w:r w:rsidRPr="00462DCC">
        <w:rPr>
          <w:rFonts w:ascii="Arial" w:hAnsi="Arial" w:cs="Arial"/>
          <w:sz w:val="16"/>
          <w:szCs w:val="16"/>
        </w:rPr>
        <w:t xml:space="preserve"> </w:t>
      </w:r>
      <w:r w:rsidRPr="00462DCC">
        <w:rPr>
          <w:rFonts w:ascii="Arial" w:hAnsi="Arial" w:cs="Arial"/>
          <w:b/>
          <w:sz w:val="16"/>
          <w:szCs w:val="16"/>
        </w:rPr>
        <w:t>ENTREGA</w:t>
      </w:r>
      <w:r w:rsidR="00273149" w:rsidRPr="00462DCC">
        <w:rPr>
          <w:rFonts w:ascii="Arial" w:hAnsi="Arial" w:cs="Arial"/>
          <w:sz w:val="16"/>
          <w:szCs w:val="16"/>
        </w:rPr>
        <w:t xml:space="preserve">: </w:t>
      </w:r>
      <w:r w:rsidR="00640DDE" w:rsidRPr="00640DDE">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462DCC" w:rsidRPr="00462DCC" w:rsidRDefault="00EC29F9" w:rsidP="00640DDE">
      <w:pPr>
        <w:rPr>
          <w:rFonts w:ascii="Arial" w:hAnsi="Arial" w:cs="Arial"/>
          <w:sz w:val="16"/>
          <w:szCs w:val="16"/>
        </w:rPr>
      </w:pPr>
      <w:r w:rsidRPr="00462DCC">
        <w:rPr>
          <w:rFonts w:ascii="Arial" w:hAnsi="Arial" w:cs="Arial"/>
          <w:b/>
          <w:sz w:val="16"/>
          <w:szCs w:val="16"/>
        </w:rPr>
        <w:t>6.4.</w:t>
      </w:r>
      <w:r w:rsidRPr="00462DCC">
        <w:rPr>
          <w:rFonts w:ascii="Arial" w:hAnsi="Arial" w:cs="Arial"/>
          <w:sz w:val="16"/>
          <w:szCs w:val="16"/>
        </w:rPr>
        <w:t xml:space="preserve"> </w:t>
      </w:r>
      <w:r w:rsidRPr="00462DCC">
        <w:rPr>
          <w:rFonts w:ascii="Arial" w:hAnsi="Arial" w:cs="Arial"/>
          <w:b/>
          <w:sz w:val="16"/>
          <w:szCs w:val="16"/>
        </w:rPr>
        <w:t xml:space="preserve">DO LOCAL DE ENTREGA: </w:t>
      </w:r>
      <w:r w:rsidR="00640DDE" w:rsidRPr="00640DDE">
        <w:rPr>
          <w:rFonts w:ascii="Arial" w:hAnsi="Arial" w:cs="Arial"/>
          <w:sz w:val="16"/>
          <w:szCs w:val="16"/>
        </w:rPr>
        <w:t>A entrega dos materiais deverão ser efetuadas na Central de Abastecimento farmacêutico – CAF II: Rua: Aparício de Morais nº. 4378 Bairro - Setor Industrial, - Telefone: (69) 3216–5759 - Porto Velho, Rondônia. O expediente é de segunda a sexta, das 7:30 as 13:30 horas.</w:t>
      </w:r>
    </w:p>
    <w:p w:rsidR="00B74967" w:rsidRPr="00CF7660" w:rsidRDefault="00B74967" w:rsidP="00446DEC">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lastRenderedPageBreak/>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40DDE" w:rsidRDefault="00640DDE" w:rsidP="009F78DE">
      <w:pPr>
        <w:jc w:val="both"/>
        <w:rPr>
          <w:rFonts w:ascii="Arial" w:hAnsi="Arial" w:cs="Arial"/>
          <w:bCs/>
          <w:color w:val="000000"/>
          <w:sz w:val="16"/>
          <w:szCs w:val="16"/>
        </w:rPr>
      </w:pPr>
      <w:r w:rsidRPr="004442C7">
        <w:rPr>
          <w:rFonts w:ascii="Arial" w:hAnsi="Arial" w:cs="Arial"/>
          <w:b/>
          <w:bCs/>
          <w:color w:val="000000"/>
          <w:sz w:val="16"/>
          <w:szCs w:val="16"/>
        </w:rPr>
        <w:t>9.1.</w:t>
      </w:r>
      <w:r w:rsidRPr="00640DDE">
        <w:rPr>
          <w:rFonts w:ascii="Arial" w:hAnsi="Arial" w:cs="Arial"/>
          <w:bCs/>
          <w:color w:val="000000"/>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parcela devida. </w:t>
      </w:r>
    </w:p>
    <w:p w:rsidR="00640DDE" w:rsidRDefault="00640DDE" w:rsidP="009F78DE">
      <w:pPr>
        <w:jc w:val="both"/>
        <w:rPr>
          <w:rFonts w:ascii="Arial" w:hAnsi="Arial" w:cs="Arial"/>
          <w:bCs/>
          <w:color w:val="000000"/>
          <w:sz w:val="16"/>
          <w:szCs w:val="16"/>
        </w:rPr>
      </w:pPr>
      <w:r w:rsidRPr="004442C7">
        <w:rPr>
          <w:rFonts w:ascii="Arial" w:hAnsi="Arial" w:cs="Arial"/>
          <w:b/>
          <w:bCs/>
          <w:color w:val="000000"/>
          <w:sz w:val="16"/>
          <w:szCs w:val="16"/>
        </w:rPr>
        <w:t>9.2</w:t>
      </w:r>
      <w:r w:rsidR="004442C7" w:rsidRPr="004442C7">
        <w:rPr>
          <w:rFonts w:ascii="Arial" w:hAnsi="Arial" w:cs="Arial"/>
          <w:b/>
          <w:bCs/>
          <w:color w:val="000000"/>
          <w:sz w:val="16"/>
          <w:szCs w:val="16"/>
        </w:rPr>
        <w:t>.</w:t>
      </w:r>
      <w:r w:rsidRPr="00640DDE">
        <w:rPr>
          <w:rFonts w:ascii="Arial" w:hAnsi="Arial" w:cs="Arial"/>
          <w:bCs/>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640DDE" w:rsidRDefault="00640DDE" w:rsidP="009F78DE">
      <w:pPr>
        <w:jc w:val="both"/>
        <w:rPr>
          <w:rFonts w:ascii="Arial" w:hAnsi="Arial" w:cs="Arial"/>
          <w:bCs/>
          <w:color w:val="000000"/>
          <w:sz w:val="16"/>
          <w:szCs w:val="16"/>
        </w:rPr>
      </w:pPr>
      <w:r w:rsidRPr="004442C7">
        <w:rPr>
          <w:rFonts w:ascii="Arial" w:hAnsi="Arial" w:cs="Arial"/>
          <w:b/>
          <w:bCs/>
          <w:color w:val="000000"/>
          <w:sz w:val="16"/>
          <w:szCs w:val="16"/>
        </w:rPr>
        <w:t>9.3</w:t>
      </w:r>
      <w:r w:rsidR="004442C7" w:rsidRPr="004442C7">
        <w:rPr>
          <w:rFonts w:ascii="Arial" w:hAnsi="Arial" w:cs="Arial"/>
          <w:b/>
          <w:bCs/>
          <w:color w:val="000000"/>
          <w:sz w:val="16"/>
          <w:szCs w:val="16"/>
        </w:rPr>
        <w:t>.</w:t>
      </w:r>
      <w:r w:rsidRPr="00640DDE">
        <w:rPr>
          <w:rFonts w:ascii="Arial" w:hAnsi="Arial" w:cs="Arial"/>
          <w:bCs/>
          <w:color w:val="000000"/>
          <w:sz w:val="16"/>
          <w:szCs w:val="16"/>
        </w:rPr>
        <w:t xml:space="preserve"> A licitante, adjudicatária ou contratada que, convocada dentro do prazo de validade de sua proposta, não celebrar o instrumento contratual, deixar de entregar ou apresentar documentação falsa</w:t>
      </w:r>
      <w:r>
        <w:rPr>
          <w:rFonts w:ascii="Arial" w:hAnsi="Arial" w:cs="Arial"/>
          <w:bCs/>
          <w:color w:val="000000"/>
          <w:sz w:val="16"/>
          <w:szCs w:val="16"/>
        </w:rPr>
        <w:t xml:space="preserve"> </w:t>
      </w:r>
      <w:r w:rsidRPr="00640DDE">
        <w:rPr>
          <w:rFonts w:ascii="Arial" w:hAnsi="Arial" w:cs="Arial"/>
          <w:bCs/>
          <w:color w:val="000000"/>
          <w:sz w:val="16"/>
          <w:szCs w:val="16"/>
        </w:rPr>
        <w:t xml:space="preserve">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640DDE" w:rsidRDefault="00640DDE" w:rsidP="009F78DE">
      <w:pPr>
        <w:jc w:val="both"/>
        <w:rPr>
          <w:rFonts w:ascii="Arial" w:hAnsi="Arial" w:cs="Arial"/>
          <w:bCs/>
          <w:color w:val="000000"/>
          <w:sz w:val="16"/>
          <w:szCs w:val="16"/>
        </w:rPr>
      </w:pPr>
      <w:r w:rsidRPr="004442C7">
        <w:rPr>
          <w:rFonts w:ascii="Arial" w:hAnsi="Arial" w:cs="Arial"/>
          <w:b/>
          <w:bCs/>
          <w:color w:val="000000"/>
          <w:sz w:val="16"/>
          <w:szCs w:val="16"/>
        </w:rPr>
        <w:t>9.4</w:t>
      </w:r>
      <w:r w:rsidR="004442C7" w:rsidRPr="004442C7">
        <w:rPr>
          <w:rFonts w:ascii="Arial" w:hAnsi="Arial" w:cs="Arial"/>
          <w:b/>
          <w:bCs/>
          <w:color w:val="000000"/>
          <w:sz w:val="16"/>
          <w:szCs w:val="16"/>
        </w:rPr>
        <w:t>.</w:t>
      </w:r>
      <w:r w:rsidRPr="00640DDE">
        <w:rPr>
          <w:rFonts w:ascii="Arial" w:hAnsi="Arial" w:cs="Arial"/>
          <w:bCs/>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 </w:t>
      </w:r>
    </w:p>
    <w:p w:rsidR="00640DDE" w:rsidRDefault="00640DDE" w:rsidP="009F78DE">
      <w:pPr>
        <w:jc w:val="both"/>
        <w:rPr>
          <w:rFonts w:ascii="Arial" w:hAnsi="Arial" w:cs="Arial"/>
          <w:bCs/>
          <w:color w:val="000000"/>
          <w:sz w:val="16"/>
          <w:szCs w:val="16"/>
        </w:rPr>
      </w:pPr>
      <w:r w:rsidRPr="004442C7">
        <w:rPr>
          <w:rFonts w:ascii="Arial" w:hAnsi="Arial" w:cs="Arial"/>
          <w:b/>
          <w:bCs/>
          <w:color w:val="000000"/>
          <w:sz w:val="16"/>
          <w:szCs w:val="16"/>
        </w:rPr>
        <w:t>9.5</w:t>
      </w:r>
      <w:r w:rsidR="004442C7" w:rsidRPr="004442C7">
        <w:rPr>
          <w:rFonts w:ascii="Arial" w:hAnsi="Arial" w:cs="Arial"/>
          <w:b/>
          <w:bCs/>
          <w:color w:val="000000"/>
          <w:sz w:val="16"/>
          <w:szCs w:val="16"/>
        </w:rPr>
        <w:t>.</w:t>
      </w:r>
      <w:r w:rsidRPr="00640DDE">
        <w:rPr>
          <w:rFonts w:ascii="Arial" w:hAnsi="Arial" w:cs="Arial"/>
          <w:bCs/>
          <w:color w:val="000000"/>
          <w:sz w:val="16"/>
          <w:szCs w:val="16"/>
        </w:rPr>
        <w:t xml:space="preserve"> As multas previstas nesta seção não eximem a adjudicatária ou contratada da reparação dos eventuais danos, perdas ou prejuízos que seu ato punível venha causar à Administração. </w:t>
      </w:r>
    </w:p>
    <w:p w:rsidR="00640DDE" w:rsidRDefault="00640DDE" w:rsidP="009F78DE">
      <w:pPr>
        <w:jc w:val="both"/>
        <w:rPr>
          <w:rFonts w:ascii="Arial" w:hAnsi="Arial" w:cs="Arial"/>
          <w:bCs/>
          <w:color w:val="000000"/>
          <w:sz w:val="16"/>
          <w:szCs w:val="16"/>
        </w:rPr>
      </w:pPr>
      <w:r w:rsidRPr="004442C7">
        <w:rPr>
          <w:rFonts w:ascii="Arial" w:hAnsi="Arial" w:cs="Arial"/>
          <w:b/>
          <w:bCs/>
          <w:color w:val="000000"/>
          <w:sz w:val="16"/>
          <w:szCs w:val="16"/>
        </w:rPr>
        <w:t>9.6</w:t>
      </w:r>
      <w:r w:rsidR="004442C7" w:rsidRPr="004442C7">
        <w:rPr>
          <w:rFonts w:ascii="Arial" w:hAnsi="Arial" w:cs="Arial"/>
          <w:b/>
          <w:bCs/>
          <w:color w:val="000000"/>
          <w:sz w:val="16"/>
          <w:szCs w:val="16"/>
        </w:rPr>
        <w:t>.</w:t>
      </w:r>
      <w:r w:rsidRPr="00640DDE">
        <w:rPr>
          <w:rFonts w:ascii="Arial" w:hAnsi="Arial" w:cs="Arial"/>
          <w:bCs/>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640DDE" w:rsidRDefault="00640DDE" w:rsidP="009F78DE">
      <w:pPr>
        <w:jc w:val="both"/>
        <w:rPr>
          <w:rFonts w:ascii="Arial" w:hAnsi="Arial" w:cs="Arial"/>
          <w:bCs/>
          <w:color w:val="000000"/>
          <w:sz w:val="16"/>
          <w:szCs w:val="16"/>
        </w:rPr>
      </w:pPr>
      <w:r w:rsidRPr="004442C7">
        <w:rPr>
          <w:rFonts w:ascii="Arial" w:hAnsi="Arial" w:cs="Arial"/>
          <w:b/>
          <w:bCs/>
          <w:color w:val="000000"/>
          <w:sz w:val="16"/>
          <w:szCs w:val="16"/>
        </w:rPr>
        <w:t>9.7</w:t>
      </w:r>
      <w:r w:rsidR="004442C7" w:rsidRPr="004442C7">
        <w:rPr>
          <w:rFonts w:ascii="Arial" w:hAnsi="Arial" w:cs="Arial"/>
          <w:b/>
          <w:bCs/>
          <w:color w:val="000000"/>
          <w:sz w:val="16"/>
          <w:szCs w:val="16"/>
        </w:rPr>
        <w:t>.</w:t>
      </w:r>
      <w:r w:rsidRPr="00640DDE">
        <w:rPr>
          <w:rFonts w:ascii="Arial" w:hAnsi="Arial" w:cs="Arial"/>
          <w:bCs/>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640DDE" w:rsidRDefault="00640DDE" w:rsidP="009F78DE">
      <w:pPr>
        <w:jc w:val="both"/>
      </w:pPr>
      <w:r w:rsidRPr="004442C7">
        <w:rPr>
          <w:rFonts w:ascii="Arial" w:hAnsi="Arial" w:cs="Arial"/>
          <w:b/>
          <w:bCs/>
          <w:color w:val="000000"/>
          <w:sz w:val="16"/>
          <w:szCs w:val="16"/>
        </w:rPr>
        <w:t>9.8</w:t>
      </w:r>
      <w:r w:rsidR="004442C7" w:rsidRPr="004442C7">
        <w:rPr>
          <w:rFonts w:ascii="Arial" w:hAnsi="Arial" w:cs="Arial"/>
          <w:b/>
          <w:bCs/>
          <w:color w:val="000000"/>
          <w:sz w:val="16"/>
          <w:szCs w:val="16"/>
        </w:rPr>
        <w:t>.</w:t>
      </w:r>
      <w:r w:rsidRPr="00640DDE">
        <w:rPr>
          <w:rFonts w:ascii="Arial" w:hAnsi="Arial" w:cs="Arial"/>
          <w:bCs/>
          <w:color w:val="000000"/>
          <w:sz w:val="16"/>
          <w:szCs w:val="16"/>
        </w:rPr>
        <w:t xml:space="preserve"> São exemplos de infração administrativa penalizáveis, nos termos da Lei nº 8.666, de 1993, da Lei nº 10.520, de 2002, dos Decretos nº 12.205/05, e do Decreto nº 12.234/06:</w:t>
      </w:r>
      <w:r w:rsidRPr="00640DDE">
        <w:t xml:space="preserve"> </w:t>
      </w:r>
    </w:p>
    <w:p w:rsidR="00640DDE" w:rsidRDefault="00640DDE" w:rsidP="009F78DE">
      <w:pPr>
        <w:jc w:val="both"/>
        <w:rPr>
          <w:rFonts w:ascii="Arial" w:hAnsi="Arial" w:cs="Arial"/>
          <w:bCs/>
          <w:color w:val="000000"/>
          <w:sz w:val="16"/>
          <w:szCs w:val="16"/>
        </w:rPr>
      </w:pPr>
      <w:r w:rsidRPr="00640DDE">
        <w:rPr>
          <w:rFonts w:ascii="Arial" w:hAnsi="Arial" w:cs="Arial"/>
          <w:bCs/>
          <w:color w:val="000000"/>
          <w:sz w:val="16"/>
          <w:szCs w:val="16"/>
        </w:rPr>
        <w:t xml:space="preserve">a) Inexecução total ou parcial do contrato; </w:t>
      </w:r>
    </w:p>
    <w:p w:rsidR="00640DDE" w:rsidRDefault="00640DDE" w:rsidP="009F78DE">
      <w:pPr>
        <w:jc w:val="both"/>
        <w:rPr>
          <w:rFonts w:ascii="Arial" w:hAnsi="Arial" w:cs="Arial"/>
          <w:bCs/>
          <w:color w:val="000000"/>
          <w:sz w:val="16"/>
          <w:szCs w:val="16"/>
        </w:rPr>
      </w:pPr>
      <w:r w:rsidRPr="00640DDE">
        <w:rPr>
          <w:rFonts w:ascii="Arial" w:hAnsi="Arial" w:cs="Arial"/>
          <w:bCs/>
          <w:color w:val="000000"/>
          <w:sz w:val="16"/>
          <w:szCs w:val="16"/>
        </w:rPr>
        <w:t xml:space="preserve">b) Apresentação de documentação falsa; </w:t>
      </w:r>
    </w:p>
    <w:p w:rsidR="00640DDE" w:rsidRDefault="00640DDE" w:rsidP="009F78DE">
      <w:pPr>
        <w:jc w:val="both"/>
        <w:rPr>
          <w:rFonts w:ascii="Arial" w:hAnsi="Arial" w:cs="Arial"/>
          <w:bCs/>
          <w:color w:val="000000"/>
          <w:sz w:val="16"/>
          <w:szCs w:val="16"/>
        </w:rPr>
      </w:pPr>
      <w:r w:rsidRPr="00640DDE">
        <w:rPr>
          <w:rFonts w:ascii="Arial" w:hAnsi="Arial" w:cs="Arial"/>
          <w:bCs/>
          <w:color w:val="000000"/>
          <w:sz w:val="16"/>
          <w:szCs w:val="16"/>
        </w:rPr>
        <w:t xml:space="preserve">c) Comportamento inidôneo; </w:t>
      </w:r>
    </w:p>
    <w:p w:rsidR="00640DDE" w:rsidRDefault="00640DDE" w:rsidP="009F78DE">
      <w:pPr>
        <w:jc w:val="both"/>
        <w:rPr>
          <w:rFonts w:ascii="Arial" w:hAnsi="Arial" w:cs="Arial"/>
          <w:bCs/>
          <w:color w:val="000000"/>
          <w:sz w:val="16"/>
          <w:szCs w:val="16"/>
        </w:rPr>
      </w:pPr>
      <w:r w:rsidRPr="00640DDE">
        <w:rPr>
          <w:rFonts w:ascii="Arial" w:hAnsi="Arial" w:cs="Arial"/>
          <w:bCs/>
          <w:color w:val="000000"/>
          <w:sz w:val="16"/>
          <w:szCs w:val="16"/>
        </w:rPr>
        <w:t xml:space="preserve">d) Fraude fiscal; </w:t>
      </w:r>
    </w:p>
    <w:p w:rsidR="00640DDE" w:rsidRDefault="00640DDE" w:rsidP="009F78DE">
      <w:pPr>
        <w:jc w:val="both"/>
        <w:rPr>
          <w:rFonts w:ascii="Arial" w:hAnsi="Arial" w:cs="Arial"/>
          <w:bCs/>
          <w:color w:val="000000"/>
          <w:sz w:val="16"/>
          <w:szCs w:val="16"/>
        </w:rPr>
      </w:pPr>
      <w:r w:rsidRPr="00640DDE">
        <w:rPr>
          <w:rFonts w:ascii="Arial" w:hAnsi="Arial" w:cs="Arial"/>
          <w:bCs/>
          <w:color w:val="000000"/>
          <w:sz w:val="16"/>
          <w:szCs w:val="16"/>
        </w:rPr>
        <w:t xml:space="preserve">e) Descumprimento de qualquer dos deveres elencados no Edital ou no Contrato. </w:t>
      </w:r>
    </w:p>
    <w:p w:rsidR="00640DDE" w:rsidRDefault="00640DDE" w:rsidP="009F78DE">
      <w:pPr>
        <w:jc w:val="both"/>
        <w:rPr>
          <w:rFonts w:ascii="Arial" w:hAnsi="Arial" w:cs="Arial"/>
          <w:bCs/>
          <w:color w:val="000000"/>
          <w:sz w:val="16"/>
          <w:szCs w:val="16"/>
        </w:rPr>
      </w:pPr>
      <w:r w:rsidRPr="004442C7">
        <w:rPr>
          <w:rFonts w:ascii="Arial" w:hAnsi="Arial" w:cs="Arial"/>
          <w:b/>
          <w:bCs/>
          <w:color w:val="000000"/>
          <w:sz w:val="16"/>
          <w:szCs w:val="16"/>
        </w:rPr>
        <w:t>9.9</w:t>
      </w:r>
      <w:r w:rsidR="004442C7" w:rsidRPr="004442C7">
        <w:rPr>
          <w:rFonts w:ascii="Arial" w:hAnsi="Arial" w:cs="Arial"/>
          <w:b/>
          <w:bCs/>
          <w:color w:val="000000"/>
          <w:sz w:val="16"/>
          <w:szCs w:val="16"/>
        </w:rPr>
        <w:t>.</w:t>
      </w:r>
      <w:r w:rsidRPr="00640DDE">
        <w:rPr>
          <w:rFonts w:ascii="Arial" w:hAnsi="Arial" w:cs="Arial"/>
          <w:bCs/>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462DCC" w:rsidRDefault="00640DDE" w:rsidP="009F78DE">
      <w:pPr>
        <w:jc w:val="both"/>
        <w:rPr>
          <w:rFonts w:ascii="Arial" w:hAnsi="Arial" w:cs="Arial"/>
          <w:bCs/>
          <w:color w:val="000000"/>
          <w:sz w:val="16"/>
          <w:szCs w:val="16"/>
        </w:rPr>
      </w:pPr>
      <w:r w:rsidRPr="004442C7">
        <w:rPr>
          <w:rFonts w:ascii="Arial" w:hAnsi="Arial" w:cs="Arial"/>
          <w:b/>
          <w:bCs/>
          <w:color w:val="000000"/>
          <w:sz w:val="16"/>
          <w:szCs w:val="16"/>
        </w:rPr>
        <w:t>9.10</w:t>
      </w:r>
      <w:r w:rsidR="004442C7" w:rsidRPr="004442C7">
        <w:rPr>
          <w:rFonts w:ascii="Arial" w:hAnsi="Arial" w:cs="Arial"/>
          <w:b/>
          <w:bCs/>
          <w:color w:val="000000"/>
          <w:sz w:val="16"/>
          <w:szCs w:val="16"/>
        </w:rPr>
        <w:t>.</w:t>
      </w:r>
      <w:r w:rsidRPr="00640DDE">
        <w:rPr>
          <w:rFonts w:ascii="Arial" w:hAnsi="Arial" w:cs="Arial"/>
          <w:bCs/>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640DDE" w:rsidRDefault="00640DDE" w:rsidP="009F78DE">
      <w:pPr>
        <w:jc w:val="both"/>
        <w:rPr>
          <w:rFonts w:ascii="Arial" w:hAnsi="Arial" w:cs="Arial"/>
          <w:bCs/>
          <w:color w:val="000000"/>
          <w:sz w:val="16"/>
          <w:szCs w:val="16"/>
        </w:rPr>
      </w:pPr>
    </w:p>
    <w:tbl>
      <w:tblPr>
        <w:tblpPr w:leftFromText="45" w:rightFromText="45" w:vertAnchor="text" w:horzAnchor="page" w:tblpX="1101" w:tblpYSpec="bottom"/>
        <w:tblW w:w="6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9"/>
        <w:gridCol w:w="4646"/>
        <w:gridCol w:w="709"/>
        <w:gridCol w:w="992"/>
      </w:tblGrid>
      <w:tr w:rsidR="004442C7" w:rsidRPr="00EB6BB3"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ITEM</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DESCRIÇÃO DA INFRAÇÃO</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GRAU</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MULTA*</w:t>
            </w:r>
          </w:p>
        </w:tc>
      </w:tr>
      <w:tr w:rsidR="004442C7" w:rsidRPr="00EB6BB3"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numPr>
                <w:ilvl w:val="0"/>
                <w:numId w:val="1"/>
              </w:numPr>
              <w:spacing w:before="100" w:beforeAutospacing="1" w:after="100" w:afterAutospacing="1"/>
              <w:ind w:left="0"/>
              <w:jc w:val="right"/>
              <w:rPr>
                <w:rFonts w:ascii="Arial" w:hAnsi="Arial" w:cs="Arial"/>
                <w:b/>
                <w:bCs/>
                <w:color w:val="000000"/>
                <w:sz w:val="16"/>
                <w:szCs w:val="16"/>
              </w:rPr>
            </w:pPr>
            <w:r w:rsidRPr="004442C7">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ind w:right="-15"/>
              <w:rPr>
                <w:rFonts w:ascii="Arial" w:hAnsi="Arial" w:cs="Arial"/>
                <w:bCs/>
                <w:color w:val="000000"/>
                <w:sz w:val="16"/>
                <w:szCs w:val="16"/>
              </w:rPr>
            </w:pPr>
            <w:r w:rsidRPr="004442C7">
              <w:rPr>
                <w:rFonts w:ascii="Arial" w:hAnsi="Arial" w:cs="Arial"/>
                <w:bCs/>
                <w:color w:val="000000"/>
                <w:sz w:val="16"/>
                <w:szCs w:val="16"/>
              </w:rPr>
              <w:t xml:space="preserve">Permitir situação que crie a possibilidade ou cause </w:t>
            </w:r>
            <w:proofErr w:type="spellStart"/>
            <w:r w:rsidRPr="004442C7">
              <w:rPr>
                <w:rFonts w:ascii="Arial" w:hAnsi="Arial" w:cs="Arial"/>
                <w:bCs/>
                <w:color w:val="000000"/>
                <w:sz w:val="16"/>
                <w:szCs w:val="16"/>
              </w:rPr>
              <w:t>dano</w:t>
            </w:r>
            <w:proofErr w:type="spellEnd"/>
            <w:r w:rsidRPr="004442C7">
              <w:rPr>
                <w:rFonts w:ascii="Arial" w:hAnsi="Arial" w:cs="Arial"/>
                <w:bCs/>
                <w:color w:val="000000"/>
                <w:sz w:val="16"/>
                <w:szCs w:val="16"/>
              </w:rPr>
              <w:t xml:space="preserve"> físico, lesão corporal ou consequências letais;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4,0% por dia</w:t>
            </w:r>
          </w:p>
        </w:tc>
      </w:tr>
      <w:tr w:rsidR="004442C7" w:rsidRPr="00EB6BB3"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numPr>
                <w:ilvl w:val="0"/>
                <w:numId w:val="2"/>
              </w:numPr>
              <w:spacing w:before="100" w:beforeAutospacing="1" w:after="100" w:afterAutospacing="1"/>
              <w:ind w:left="0"/>
              <w:jc w:val="right"/>
              <w:rPr>
                <w:rFonts w:ascii="Arial" w:hAnsi="Arial" w:cs="Arial"/>
                <w:b/>
                <w:bCs/>
                <w:color w:val="000000"/>
                <w:sz w:val="16"/>
                <w:szCs w:val="16"/>
              </w:rPr>
            </w:pPr>
            <w:r w:rsidRPr="004442C7">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rPr>
                <w:rFonts w:ascii="Arial" w:hAnsi="Arial" w:cs="Arial"/>
                <w:bCs/>
                <w:color w:val="000000"/>
                <w:sz w:val="16"/>
                <w:szCs w:val="16"/>
              </w:rPr>
            </w:pPr>
            <w:r w:rsidRPr="004442C7">
              <w:rPr>
                <w:rFonts w:ascii="Arial" w:hAnsi="Arial" w:cs="Arial"/>
                <w:bCs/>
                <w:color w:val="000000"/>
                <w:sz w:val="16"/>
                <w:szCs w:val="16"/>
              </w:rPr>
              <w:t>Suspender ou interromper, salvo por motivo de força maior ou caso fortuito, a entrega dos materiais, por cada solicitação(NE).</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3,2% por dia</w:t>
            </w:r>
          </w:p>
        </w:tc>
      </w:tr>
      <w:tr w:rsidR="004442C7" w:rsidRPr="00EB6BB3"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numPr>
                <w:ilvl w:val="0"/>
                <w:numId w:val="3"/>
              </w:numPr>
              <w:spacing w:before="100" w:beforeAutospacing="1" w:after="100" w:afterAutospacing="1"/>
              <w:ind w:left="0"/>
              <w:jc w:val="right"/>
              <w:rPr>
                <w:rFonts w:ascii="Arial" w:hAnsi="Arial" w:cs="Arial"/>
                <w:b/>
                <w:bCs/>
                <w:color w:val="000000"/>
                <w:sz w:val="16"/>
                <w:szCs w:val="16"/>
              </w:rPr>
            </w:pPr>
            <w:r w:rsidRPr="004442C7">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rPr>
                <w:rFonts w:ascii="Arial" w:hAnsi="Arial" w:cs="Arial"/>
                <w:bCs/>
                <w:color w:val="000000"/>
                <w:sz w:val="16"/>
                <w:szCs w:val="16"/>
              </w:rPr>
            </w:pPr>
            <w:r w:rsidRPr="004442C7">
              <w:rPr>
                <w:rFonts w:ascii="Arial" w:hAnsi="Arial" w:cs="Arial"/>
                <w:bCs/>
                <w:color w:val="000000"/>
                <w:sz w:val="16"/>
                <w:szCs w:val="16"/>
              </w:rPr>
              <w:t>Destruir ou danificar documentos por culpa ou dolo de seus agentes;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3,2% por dia</w:t>
            </w:r>
          </w:p>
        </w:tc>
      </w:tr>
      <w:tr w:rsidR="004442C7" w:rsidRPr="00EB6BB3"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numPr>
                <w:ilvl w:val="0"/>
                <w:numId w:val="4"/>
              </w:numPr>
              <w:spacing w:before="100" w:beforeAutospacing="1" w:after="100" w:afterAutospacing="1"/>
              <w:ind w:left="0"/>
              <w:jc w:val="right"/>
              <w:rPr>
                <w:rFonts w:ascii="Arial" w:hAnsi="Arial" w:cs="Arial"/>
                <w:b/>
                <w:bCs/>
                <w:color w:val="000000"/>
                <w:sz w:val="16"/>
                <w:szCs w:val="16"/>
              </w:rPr>
            </w:pPr>
            <w:r w:rsidRPr="004442C7">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rPr>
                <w:rFonts w:ascii="Arial" w:hAnsi="Arial" w:cs="Arial"/>
                <w:bCs/>
                <w:color w:val="000000"/>
                <w:sz w:val="16"/>
                <w:szCs w:val="16"/>
              </w:rPr>
            </w:pPr>
            <w:r w:rsidRPr="004442C7">
              <w:rPr>
                <w:rFonts w:ascii="Arial" w:hAnsi="Arial" w:cs="Arial"/>
                <w:bCs/>
                <w:color w:val="000000"/>
                <w:sz w:val="16"/>
                <w:szCs w:val="16"/>
              </w:rPr>
              <w:t>Entregar os materiais incompletos ou deixar de providenciar recomposição complementar;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0,4% por dia</w:t>
            </w:r>
          </w:p>
        </w:tc>
      </w:tr>
      <w:tr w:rsidR="004442C7" w:rsidRPr="00EB6BB3"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numPr>
                <w:ilvl w:val="0"/>
                <w:numId w:val="5"/>
              </w:numPr>
              <w:spacing w:before="100" w:beforeAutospacing="1" w:after="100" w:afterAutospacing="1"/>
              <w:ind w:left="0"/>
              <w:jc w:val="right"/>
              <w:rPr>
                <w:rFonts w:ascii="Arial" w:hAnsi="Arial" w:cs="Arial"/>
                <w:b/>
                <w:bCs/>
                <w:color w:val="000000"/>
                <w:sz w:val="16"/>
                <w:szCs w:val="16"/>
              </w:rPr>
            </w:pPr>
            <w:r w:rsidRPr="004442C7">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rPr>
                <w:rFonts w:ascii="Arial" w:hAnsi="Arial" w:cs="Arial"/>
                <w:bCs/>
                <w:color w:val="000000"/>
                <w:sz w:val="16"/>
                <w:szCs w:val="16"/>
              </w:rPr>
            </w:pPr>
            <w:r w:rsidRPr="004442C7">
              <w:rPr>
                <w:rFonts w:ascii="Arial" w:hAnsi="Arial" w:cs="Arial"/>
                <w:bCs/>
                <w:color w:val="000000"/>
                <w:sz w:val="16"/>
                <w:szCs w:val="16"/>
              </w:rPr>
              <w:t>Fornecer informação pérfida referente à entrega dos materiais,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0,4% por dia</w:t>
            </w:r>
          </w:p>
        </w:tc>
      </w:tr>
      <w:tr w:rsidR="004442C7" w:rsidRPr="00EB6BB3" w:rsidTr="004442C7">
        <w:trPr>
          <w:tblCellSpacing w:w="0" w:type="dxa"/>
        </w:trPr>
        <w:tc>
          <w:tcPr>
            <w:tcW w:w="6796" w:type="dxa"/>
            <w:gridSpan w:val="4"/>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Para os itens a seguir, deixar de:</w:t>
            </w:r>
          </w:p>
        </w:tc>
      </w:tr>
      <w:tr w:rsidR="004442C7" w:rsidRPr="00EB6BB3"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numPr>
                <w:ilvl w:val="0"/>
                <w:numId w:val="6"/>
              </w:numPr>
              <w:spacing w:before="100" w:beforeAutospacing="1" w:after="100" w:afterAutospacing="1"/>
              <w:ind w:left="0"/>
              <w:jc w:val="right"/>
              <w:rPr>
                <w:rFonts w:ascii="Arial" w:hAnsi="Arial" w:cs="Arial"/>
                <w:b/>
                <w:bCs/>
                <w:color w:val="000000"/>
                <w:sz w:val="16"/>
                <w:szCs w:val="16"/>
              </w:rPr>
            </w:pPr>
            <w:r w:rsidRPr="004442C7">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rPr>
                <w:rFonts w:ascii="Arial" w:hAnsi="Arial" w:cs="Arial"/>
                <w:bCs/>
                <w:color w:val="000000"/>
                <w:sz w:val="16"/>
                <w:szCs w:val="16"/>
              </w:rPr>
            </w:pPr>
            <w:r w:rsidRPr="004442C7">
              <w:rPr>
                <w:rFonts w:ascii="Arial" w:hAnsi="Arial" w:cs="Arial"/>
                <w:bCs/>
                <w:color w:val="000000"/>
                <w:sz w:val="16"/>
                <w:szCs w:val="16"/>
              </w:rPr>
              <w:t>Efetuar o pagamento de seguros, encargos fiscais e sociais, assim como quaisquer despesas diretas e/ou indiretas relacionadas à entrega dos materiais; por dia e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3,2% por dia</w:t>
            </w:r>
          </w:p>
        </w:tc>
      </w:tr>
      <w:tr w:rsidR="004442C7" w:rsidRPr="00EB6BB3" w:rsidTr="004442C7">
        <w:trPr>
          <w:trHeight w:val="555"/>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numPr>
                <w:ilvl w:val="0"/>
                <w:numId w:val="7"/>
              </w:numPr>
              <w:spacing w:before="100" w:beforeAutospacing="1" w:after="100" w:afterAutospacing="1"/>
              <w:ind w:left="0"/>
              <w:jc w:val="right"/>
              <w:rPr>
                <w:rFonts w:ascii="Arial" w:hAnsi="Arial" w:cs="Arial"/>
                <w:b/>
                <w:bCs/>
                <w:color w:val="000000"/>
                <w:sz w:val="16"/>
                <w:szCs w:val="16"/>
              </w:rPr>
            </w:pPr>
            <w:r w:rsidRPr="004442C7">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rPr>
                <w:rFonts w:ascii="Arial" w:hAnsi="Arial" w:cs="Arial"/>
                <w:bCs/>
                <w:color w:val="000000"/>
                <w:sz w:val="16"/>
                <w:szCs w:val="16"/>
              </w:rPr>
            </w:pPr>
            <w:r w:rsidRPr="004442C7">
              <w:rPr>
                <w:rFonts w:ascii="Arial" w:hAnsi="Arial" w:cs="Arial"/>
                <w:bCs/>
                <w:color w:val="000000"/>
                <w:sz w:val="16"/>
                <w:szCs w:val="16"/>
              </w:rPr>
              <w:t>Iniciar a entrega dos materiais no prazo estabelecido.</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0,8% por dia</w:t>
            </w:r>
          </w:p>
        </w:tc>
      </w:tr>
      <w:tr w:rsidR="004442C7" w:rsidRPr="00EB6BB3"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numPr>
                <w:ilvl w:val="0"/>
                <w:numId w:val="8"/>
              </w:numPr>
              <w:spacing w:before="100" w:beforeAutospacing="1" w:after="100" w:afterAutospacing="1"/>
              <w:ind w:left="0"/>
              <w:jc w:val="right"/>
              <w:rPr>
                <w:rFonts w:ascii="Arial" w:hAnsi="Arial" w:cs="Arial"/>
                <w:b/>
                <w:bCs/>
                <w:color w:val="000000"/>
                <w:sz w:val="16"/>
                <w:szCs w:val="16"/>
              </w:rPr>
            </w:pPr>
            <w:r w:rsidRPr="004442C7">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rPr>
                <w:rFonts w:ascii="Arial" w:hAnsi="Arial" w:cs="Arial"/>
                <w:bCs/>
                <w:color w:val="000000"/>
                <w:sz w:val="16"/>
                <w:szCs w:val="16"/>
              </w:rPr>
            </w:pPr>
            <w:r w:rsidRPr="004442C7">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0,4% por dia</w:t>
            </w:r>
          </w:p>
        </w:tc>
      </w:tr>
      <w:tr w:rsidR="004442C7" w:rsidRPr="00EB6BB3" w:rsidTr="004442C7">
        <w:trPr>
          <w:trHeight w:val="225"/>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numPr>
                <w:ilvl w:val="0"/>
                <w:numId w:val="9"/>
              </w:numPr>
              <w:spacing w:before="100" w:beforeAutospacing="1" w:after="100" w:afterAutospacing="1"/>
              <w:ind w:left="0"/>
              <w:jc w:val="right"/>
              <w:rPr>
                <w:rFonts w:ascii="Arial" w:hAnsi="Arial" w:cs="Arial"/>
                <w:b/>
                <w:bCs/>
                <w:color w:val="000000"/>
                <w:sz w:val="16"/>
                <w:szCs w:val="16"/>
              </w:rPr>
            </w:pPr>
            <w:r w:rsidRPr="004442C7">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rPr>
                <w:rFonts w:ascii="Arial" w:hAnsi="Arial" w:cs="Arial"/>
                <w:bCs/>
                <w:color w:val="000000"/>
                <w:sz w:val="16"/>
                <w:szCs w:val="16"/>
              </w:rPr>
            </w:pPr>
            <w:r w:rsidRPr="004442C7">
              <w:rPr>
                <w:rFonts w:ascii="Arial" w:hAnsi="Arial" w:cs="Arial"/>
                <w:bCs/>
                <w:color w:val="000000"/>
                <w:sz w:val="16"/>
                <w:szCs w:val="16"/>
              </w:rPr>
              <w:t>Manter a documentação de habilitação atualizada; por item,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01</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4442C7" w:rsidRDefault="004442C7" w:rsidP="004442C7">
            <w:pPr>
              <w:spacing w:before="100" w:beforeAutospacing="1" w:after="100" w:afterAutospacing="1"/>
              <w:jc w:val="center"/>
              <w:rPr>
                <w:rFonts w:ascii="Arial" w:hAnsi="Arial" w:cs="Arial"/>
                <w:b/>
                <w:bCs/>
                <w:color w:val="000000"/>
                <w:sz w:val="16"/>
                <w:szCs w:val="16"/>
              </w:rPr>
            </w:pPr>
            <w:r w:rsidRPr="004442C7">
              <w:rPr>
                <w:rFonts w:ascii="Arial" w:hAnsi="Arial" w:cs="Arial"/>
                <w:b/>
                <w:bCs/>
                <w:color w:val="000000"/>
                <w:sz w:val="16"/>
                <w:szCs w:val="16"/>
              </w:rPr>
              <w:t>0,2% por dia</w:t>
            </w:r>
          </w:p>
        </w:tc>
      </w:tr>
    </w:tbl>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Default="004442C7" w:rsidP="009F78DE">
      <w:pPr>
        <w:jc w:val="both"/>
        <w:rPr>
          <w:rFonts w:ascii="Arial" w:hAnsi="Arial" w:cs="Arial"/>
          <w:bCs/>
          <w:color w:val="000000"/>
          <w:sz w:val="16"/>
          <w:szCs w:val="16"/>
        </w:rPr>
      </w:pPr>
    </w:p>
    <w:p w:rsidR="004442C7" w:rsidRPr="00640DDE" w:rsidRDefault="004442C7" w:rsidP="009F78DE">
      <w:pPr>
        <w:jc w:val="both"/>
        <w:rPr>
          <w:rFonts w:ascii="Arial" w:hAnsi="Arial" w:cs="Arial"/>
          <w:bCs/>
          <w:color w:val="000000"/>
          <w:sz w:val="16"/>
          <w:szCs w:val="16"/>
        </w:rPr>
      </w:pPr>
    </w:p>
    <w:p w:rsidR="004442C7" w:rsidRPr="004442C7" w:rsidRDefault="004442C7" w:rsidP="009F78DE">
      <w:pPr>
        <w:jc w:val="both"/>
        <w:rPr>
          <w:rFonts w:ascii="Arial" w:hAnsi="Arial" w:cs="Arial"/>
          <w:bCs/>
          <w:color w:val="000000"/>
          <w:sz w:val="16"/>
          <w:szCs w:val="16"/>
        </w:rPr>
      </w:pPr>
      <w:r w:rsidRPr="004442C7">
        <w:rPr>
          <w:rFonts w:ascii="Arial" w:hAnsi="Arial" w:cs="Arial"/>
          <w:b/>
          <w:bCs/>
          <w:color w:val="000000"/>
          <w:sz w:val="16"/>
          <w:szCs w:val="16"/>
        </w:rPr>
        <w:t>9.11.</w:t>
      </w:r>
      <w:r w:rsidRPr="004442C7">
        <w:rPr>
          <w:rFonts w:ascii="Arial" w:hAnsi="Arial" w:cs="Arial"/>
          <w:bCs/>
          <w:color w:val="000000"/>
          <w:sz w:val="16"/>
          <w:szCs w:val="16"/>
        </w:rPr>
        <w:t xml:space="preserve"> Após 30 (trinta) dias da falta de execução do objeto, será considerada inexecução total do contrato, o que ensejará a rescisão contratual. 9.12 As sanções de natureza pecuniária serão diretamente descontadas de créditos que eventualmente detenha a CONTRATADA ou efetuada a sua cobrança na forma prevista em lei. </w:t>
      </w:r>
    </w:p>
    <w:p w:rsidR="004442C7" w:rsidRPr="004442C7" w:rsidRDefault="004442C7" w:rsidP="009F78DE">
      <w:pPr>
        <w:jc w:val="both"/>
        <w:rPr>
          <w:rFonts w:ascii="Arial" w:hAnsi="Arial" w:cs="Arial"/>
          <w:bCs/>
          <w:color w:val="000000"/>
          <w:sz w:val="16"/>
          <w:szCs w:val="16"/>
        </w:rPr>
      </w:pPr>
      <w:r w:rsidRPr="004442C7">
        <w:rPr>
          <w:rFonts w:ascii="Arial" w:hAnsi="Arial" w:cs="Arial"/>
          <w:b/>
          <w:bCs/>
          <w:color w:val="000000"/>
          <w:sz w:val="16"/>
          <w:szCs w:val="16"/>
        </w:rPr>
        <w:t>9.13.</w:t>
      </w:r>
      <w:r w:rsidRPr="004442C7">
        <w:rPr>
          <w:rFonts w:ascii="Arial" w:hAnsi="Arial" w:cs="Arial"/>
          <w:bCs/>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4442C7" w:rsidRPr="004442C7" w:rsidRDefault="004442C7" w:rsidP="009F78DE">
      <w:pPr>
        <w:jc w:val="both"/>
        <w:rPr>
          <w:rFonts w:ascii="Arial" w:hAnsi="Arial" w:cs="Arial"/>
          <w:bCs/>
          <w:color w:val="000000"/>
          <w:sz w:val="16"/>
          <w:szCs w:val="16"/>
        </w:rPr>
      </w:pPr>
      <w:r w:rsidRPr="004442C7">
        <w:rPr>
          <w:rFonts w:ascii="Arial" w:hAnsi="Arial" w:cs="Arial"/>
          <w:b/>
          <w:bCs/>
          <w:color w:val="000000"/>
          <w:sz w:val="16"/>
          <w:szCs w:val="16"/>
        </w:rPr>
        <w:t>9.14.</w:t>
      </w:r>
      <w:r w:rsidRPr="004442C7">
        <w:rPr>
          <w:rFonts w:ascii="Arial" w:hAnsi="Arial" w:cs="Arial"/>
          <w:bCs/>
          <w:color w:val="000000"/>
          <w:sz w:val="16"/>
          <w:szCs w:val="16"/>
        </w:rPr>
        <w:t xml:space="preserve"> A autoridade competente, na aplicação das sanções, levará em consideração a gravidade da conduta do infrator, o caráter educativo da pena, bem como o dano causado </w:t>
      </w:r>
      <w:proofErr w:type="spellStart"/>
      <w:r w:rsidRPr="004442C7">
        <w:rPr>
          <w:rFonts w:ascii="Arial" w:hAnsi="Arial" w:cs="Arial"/>
          <w:bCs/>
          <w:color w:val="000000"/>
          <w:sz w:val="16"/>
          <w:szCs w:val="16"/>
        </w:rPr>
        <w:t>á</w:t>
      </w:r>
      <w:proofErr w:type="spellEnd"/>
      <w:r w:rsidRPr="004442C7">
        <w:rPr>
          <w:rFonts w:ascii="Arial" w:hAnsi="Arial" w:cs="Arial"/>
          <w:bCs/>
          <w:color w:val="000000"/>
          <w:sz w:val="16"/>
          <w:szCs w:val="16"/>
        </w:rPr>
        <w:t xml:space="preserve"> Administração, observado o princípio da proporcionalidade. </w:t>
      </w:r>
    </w:p>
    <w:p w:rsidR="004442C7" w:rsidRPr="004442C7" w:rsidRDefault="004442C7" w:rsidP="009F78DE">
      <w:pPr>
        <w:jc w:val="both"/>
        <w:rPr>
          <w:rFonts w:ascii="Arial" w:hAnsi="Arial" w:cs="Arial"/>
          <w:bCs/>
          <w:color w:val="000000"/>
          <w:sz w:val="16"/>
          <w:szCs w:val="16"/>
        </w:rPr>
      </w:pPr>
      <w:r w:rsidRPr="004442C7">
        <w:rPr>
          <w:rFonts w:ascii="Arial" w:hAnsi="Arial" w:cs="Arial"/>
          <w:b/>
          <w:bCs/>
          <w:color w:val="000000"/>
          <w:sz w:val="16"/>
          <w:szCs w:val="16"/>
        </w:rPr>
        <w:t>9.15.</w:t>
      </w:r>
      <w:r w:rsidRPr="004442C7">
        <w:rPr>
          <w:rFonts w:ascii="Arial" w:hAnsi="Arial" w:cs="Arial"/>
          <w:bCs/>
          <w:color w:val="000000"/>
          <w:sz w:val="16"/>
          <w:szCs w:val="16"/>
        </w:rPr>
        <w:t xml:space="preserve"> A sanção será obrigatoriamente registrada no sistema de Cadastramento Unificado de Fornecedores – SICAF, bem como em sistemas Estaduais.</w:t>
      </w:r>
    </w:p>
    <w:p w:rsidR="00640DDE" w:rsidRDefault="004442C7" w:rsidP="009F78DE">
      <w:pPr>
        <w:jc w:val="both"/>
        <w:rPr>
          <w:rFonts w:ascii="Arial" w:hAnsi="Arial" w:cs="Arial"/>
          <w:bCs/>
          <w:color w:val="000000"/>
          <w:sz w:val="16"/>
          <w:szCs w:val="16"/>
        </w:rPr>
      </w:pPr>
      <w:r w:rsidRPr="004442C7">
        <w:rPr>
          <w:rFonts w:ascii="Arial" w:hAnsi="Arial" w:cs="Arial"/>
          <w:b/>
          <w:bCs/>
          <w:color w:val="000000"/>
          <w:sz w:val="16"/>
          <w:szCs w:val="16"/>
        </w:rPr>
        <w:t>9.16.</w:t>
      </w:r>
      <w:r w:rsidRPr="004442C7">
        <w:rPr>
          <w:rFonts w:ascii="Arial" w:hAnsi="Arial" w:cs="Arial"/>
          <w:bCs/>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442C7" w:rsidRDefault="004442C7" w:rsidP="009F78DE">
      <w:pPr>
        <w:jc w:val="both"/>
        <w:rPr>
          <w:rFonts w:ascii="Arial" w:hAnsi="Arial" w:cs="Arial"/>
          <w:bCs/>
          <w:color w:val="000000"/>
          <w:sz w:val="16"/>
          <w:szCs w:val="16"/>
        </w:rPr>
      </w:pPr>
      <w:r w:rsidRPr="004442C7">
        <w:rPr>
          <w:rFonts w:ascii="Arial" w:hAnsi="Arial" w:cs="Arial"/>
          <w:bCs/>
          <w:color w:val="000000"/>
          <w:sz w:val="16"/>
          <w:szCs w:val="16"/>
        </w:rPr>
        <w:t xml:space="preserve">a) Tenham sofrido condenações definitivas por praticarem, por meio dolosos, fraude fiscal no recolhimento de tributos; </w:t>
      </w:r>
    </w:p>
    <w:p w:rsidR="004442C7" w:rsidRDefault="004442C7" w:rsidP="009F78DE">
      <w:pPr>
        <w:jc w:val="both"/>
        <w:rPr>
          <w:rFonts w:ascii="Arial" w:hAnsi="Arial" w:cs="Arial"/>
          <w:bCs/>
          <w:color w:val="000000"/>
          <w:sz w:val="16"/>
          <w:szCs w:val="16"/>
        </w:rPr>
      </w:pPr>
      <w:r>
        <w:rPr>
          <w:rFonts w:ascii="Arial" w:hAnsi="Arial" w:cs="Arial"/>
          <w:bCs/>
          <w:color w:val="000000"/>
          <w:sz w:val="16"/>
          <w:szCs w:val="16"/>
        </w:rPr>
        <w:t>b</w:t>
      </w:r>
      <w:r w:rsidRPr="004442C7">
        <w:rPr>
          <w:rFonts w:ascii="Arial" w:hAnsi="Arial" w:cs="Arial"/>
          <w:bCs/>
          <w:color w:val="000000"/>
          <w:sz w:val="16"/>
          <w:szCs w:val="16"/>
        </w:rPr>
        <w:t xml:space="preserve">) Tenham praticado atos ilícitos visando a frustrar os objetivos da licitação; </w:t>
      </w:r>
    </w:p>
    <w:p w:rsidR="004442C7" w:rsidRPr="004442C7" w:rsidRDefault="004442C7" w:rsidP="009F78DE">
      <w:pPr>
        <w:jc w:val="both"/>
        <w:rPr>
          <w:rFonts w:ascii="Arial" w:hAnsi="Arial" w:cs="Arial"/>
          <w:bCs/>
          <w:color w:val="000000"/>
          <w:sz w:val="16"/>
          <w:szCs w:val="16"/>
        </w:rPr>
      </w:pPr>
      <w:r w:rsidRPr="004442C7">
        <w:rPr>
          <w:rFonts w:ascii="Arial" w:hAnsi="Arial" w:cs="Arial"/>
          <w:bCs/>
          <w:color w:val="000000"/>
          <w:sz w:val="16"/>
          <w:szCs w:val="16"/>
        </w:rPr>
        <w:t>c) Demonstrem não possuir idoneidade para contratar com a Administração em virtude de atos ilícitos praticados.</w:t>
      </w:r>
    </w:p>
    <w:p w:rsidR="004442C7" w:rsidRDefault="004442C7" w:rsidP="009F78DE">
      <w:pPr>
        <w:jc w:val="both"/>
        <w:rPr>
          <w:rFonts w:ascii="Arial" w:hAnsi="Arial" w:cs="Arial"/>
          <w:b/>
          <w:bCs/>
          <w:color w:val="000000"/>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4442C7" w:rsidRDefault="004442C7" w:rsidP="003537BB">
      <w:pPr>
        <w:spacing w:line="360" w:lineRule="auto"/>
        <w:jc w:val="both"/>
        <w:rPr>
          <w:rFonts w:ascii="Arial" w:hAnsi="Arial" w:cs="Arial"/>
          <w:b/>
          <w:bCs/>
          <w:color w:val="000000"/>
          <w:sz w:val="16"/>
          <w:szCs w:val="16"/>
        </w:rPr>
      </w:pPr>
    </w:p>
    <w:p w:rsidR="004442C7" w:rsidRDefault="004442C7" w:rsidP="003537BB">
      <w:pPr>
        <w:spacing w:line="360" w:lineRule="auto"/>
        <w:jc w:val="both"/>
        <w:rPr>
          <w:rFonts w:ascii="Arial" w:hAnsi="Arial" w:cs="Arial"/>
          <w:b/>
          <w:bCs/>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640DD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C206C3" w:rsidRDefault="00B26B9A" w:rsidP="00063355">
      <w:pPr>
        <w:ind w:right="60"/>
        <w:jc w:val="both"/>
        <w:rPr>
          <w:rFonts w:ascii="Arial" w:hAnsi="Arial" w:cs="Arial"/>
          <w:color w:val="000000"/>
          <w:sz w:val="16"/>
          <w:szCs w:val="16"/>
        </w:rPr>
      </w:pPr>
      <w:r w:rsidRPr="00C206C3">
        <w:rPr>
          <w:rFonts w:ascii="Arial" w:hAnsi="Arial" w:cs="Arial"/>
          <w:b/>
          <w:sz w:val="16"/>
          <w:szCs w:val="16"/>
        </w:rPr>
        <w:t>SESAU</w:t>
      </w:r>
      <w:r w:rsidR="00063355" w:rsidRPr="00C206C3">
        <w:rPr>
          <w:rFonts w:ascii="Arial" w:hAnsi="Arial" w:cs="Arial"/>
          <w:sz w:val="16"/>
          <w:szCs w:val="16"/>
        </w:rPr>
        <w:t xml:space="preserve"> </w:t>
      </w:r>
      <w:r w:rsidR="00893402" w:rsidRPr="00C206C3">
        <w:rPr>
          <w:rFonts w:ascii="Arial" w:hAnsi="Arial" w:cs="Arial"/>
          <w:sz w:val="16"/>
          <w:szCs w:val="16"/>
        </w:rPr>
        <w:t>–</w:t>
      </w:r>
      <w:r w:rsidR="00273149" w:rsidRPr="00C206C3">
        <w:rPr>
          <w:rFonts w:ascii="Arial" w:hAnsi="Arial" w:cs="Arial"/>
          <w:sz w:val="16"/>
          <w:szCs w:val="16"/>
        </w:rPr>
        <w:t xml:space="preserve"> </w:t>
      </w:r>
      <w:r w:rsidR="00893402" w:rsidRPr="00C206C3">
        <w:rPr>
          <w:rFonts w:ascii="Arial" w:hAnsi="Arial" w:cs="Arial"/>
          <w:sz w:val="16"/>
          <w:szCs w:val="16"/>
        </w:rPr>
        <w:t xml:space="preserve">Secretaria de Estado da </w:t>
      </w:r>
      <w:r w:rsidRPr="00C206C3">
        <w:rPr>
          <w:rFonts w:ascii="Arial" w:hAnsi="Arial" w:cs="Arial"/>
          <w:sz w:val="16"/>
          <w:szCs w:val="16"/>
        </w:rPr>
        <w:t>Saúde</w:t>
      </w:r>
      <w:r w:rsidR="00063355" w:rsidRPr="00C206C3">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4442C7" w:rsidP="00526790">
      <w:pPr>
        <w:ind w:right="47"/>
        <w:jc w:val="both"/>
        <w:rPr>
          <w:rFonts w:ascii="Arial" w:hAnsi="Arial" w:cs="Arial"/>
          <w:b/>
          <w:bCs/>
          <w:color w:val="000000"/>
          <w:sz w:val="10"/>
          <w:szCs w:val="10"/>
        </w:rPr>
      </w:pPr>
      <w:r>
        <w:rPr>
          <w:rFonts w:ascii="Arial" w:hAnsi="Arial" w:cs="Arial"/>
          <w:b/>
          <w:bCs/>
          <w:color w:val="000000"/>
          <w:sz w:val="10"/>
          <w:szCs w:val="10"/>
        </w:rPr>
        <w:t>RL</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DCC" w:rsidRDefault="00462DCC">
      <w:r>
        <w:separator/>
      </w:r>
    </w:p>
  </w:endnote>
  <w:endnote w:type="continuationSeparator" w:id="0">
    <w:p w:rsidR="00462DCC" w:rsidRDefault="0046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DCC" w:rsidRDefault="00462DCC">
      <w:r>
        <w:separator/>
      </w:r>
    </w:p>
  </w:footnote>
  <w:footnote w:type="continuationSeparator" w:id="0">
    <w:p w:rsidR="00462DCC" w:rsidRDefault="00462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DCC" w:rsidRDefault="00462DCC">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31FAB8-06C6-4250-9EE6-E3EB943C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C5506-C5D9-42DB-B64C-B9F9E6AEA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2967</Words>
  <Characters>16621</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2018-05-16T14:10:00Z</cp:lastPrinted>
  <dcterms:created xsi:type="dcterms:W3CDTF">2018-12-04T16:35:00Z</dcterms:created>
  <dcterms:modified xsi:type="dcterms:W3CDTF">2018-12-04T16:53:00Z</dcterms:modified>
</cp:coreProperties>
</file>