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bookmarkStart w:id="1" w:name="_GoBack"/>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D63062">
        <w:rPr>
          <w:rFonts w:ascii="Arial" w:hAnsi="Arial" w:cs="Arial"/>
          <w:b/>
          <w:sz w:val="16"/>
          <w:szCs w:val="16"/>
        </w:rPr>
        <w:t>7</w:t>
      </w:r>
      <w:r w:rsidR="00936C20">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36C20">
        <w:rPr>
          <w:rFonts w:ascii="Arial" w:hAnsi="Arial" w:cs="Arial"/>
          <w:b/>
          <w:bCs/>
          <w:sz w:val="16"/>
          <w:szCs w:val="16"/>
        </w:rPr>
        <w:t>314</w:t>
      </w:r>
      <w:r w:rsidR="005925DA">
        <w:rPr>
          <w:rFonts w:ascii="Arial" w:hAnsi="Arial" w:cs="Arial"/>
          <w:b/>
          <w:bCs/>
          <w:sz w:val="16"/>
          <w:szCs w:val="16"/>
        </w:rPr>
        <w:t>/201</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936C20" w:rsidRPr="00936C20">
        <w:rPr>
          <w:rFonts w:ascii="Arial" w:hAnsi="Arial" w:cs="Arial"/>
          <w:b/>
          <w:bCs/>
          <w:sz w:val="16"/>
          <w:szCs w:val="16"/>
        </w:rPr>
        <w:t xml:space="preserve">0029.078180/2018-54 </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FF40F2" w:rsidRPr="00E8286B">
        <w:rPr>
          <w:rFonts w:ascii="Arial" w:hAnsi="Arial" w:cs="Arial"/>
          <w:sz w:val="16"/>
          <w:szCs w:val="16"/>
        </w:rPr>
        <w:t xml:space="preserve">para futura e eventual </w:t>
      </w:r>
      <w:r w:rsidR="00BB3F4D" w:rsidRPr="00BB3F4D">
        <w:rPr>
          <w:rFonts w:ascii="Arial" w:hAnsi="Arial" w:cs="Arial"/>
          <w:sz w:val="16"/>
          <w:szCs w:val="16"/>
        </w:rPr>
        <w:t>aquisição de material de consumo (expediente/pedagógico)</w:t>
      </w:r>
      <w:r w:rsidR="00D63062" w:rsidRPr="00BB3F4D">
        <w:rPr>
          <w:rFonts w:ascii="Arial" w:hAnsi="Arial" w:cs="Arial"/>
          <w:sz w:val="16"/>
          <w:szCs w:val="16"/>
        </w:rPr>
        <w:t>,</w:t>
      </w:r>
      <w:r w:rsidR="00D63062" w:rsidRPr="00E8286B">
        <w:rPr>
          <w:rStyle w:val="Forte"/>
          <w:rFonts w:ascii="Arial" w:eastAsiaTheme="majorEastAsia" w:hAnsi="Arial" w:cs="Arial"/>
          <w:sz w:val="16"/>
          <w:szCs w:val="16"/>
        </w:rPr>
        <w:t xml:space="preserve"> </w:t>
      </w:r>
      <w:r w:rsidR="00FF40F2" w:rsidRPr="00E8286B">
        <w:rPr>
          <w:rFonts w:ascii="Arial" w:hAnsi="Arial" w:cs="Arial"/>
          <w:sz w:val="16"/>
          <w:szCs w:val="16"/>
        </w:rPr>
        <w:t xml:space="preserve">a pedido </w:t>
      </w:r>
      <w:r w:rsidR="00E8286B" w:rsidRPr="00E8286B">
        <w:rPr>
          <w:rFonts w:ascii="Arial" w:hAnsi="Arial" w:cs="Arial"/>
          <w:sz w:val="16"/>
          <w:szCs w:val="16"/>
        </w:rPr>
        <w:t xml:space="preserve">da Secretaria de </w:t>
      </w:r>
      <w:r w:rsidR="00FF40F2" w:rsidRPr="00E8286B">
        <w:rPr>
          <w:rFonts w:ascii="Arial" w:hAnsi="Arial" w:cs="Arial"/>
          <w:sz w:val="16"/>
          <w:szCs w:val="16"/>
        </w:rPr>
        <w:t xml:space="preserve">Estado da </w:t>
      </w:r>
      <w:r w:rsidR="00E8286B" w:rsidRPr="00E8286B">
        <w:rPr>
          <w:rFonts w:ascii="Arial" w:hAnsi="Arial" w:cs="Arial"/>
          <w:sz w:val="16"/>
          <w:szCs w:val="16"/>
        </w:rPr>
        <w:t>Educação</w:t>
      </w:r>
      <w:r w:rsidR="00FF40F2" w:rsidRPr="00E8286B">
        <w:rPr>
          <w:rFonts w:ascii="Arial" w:hAnsi="Arial" w:cs="Arial"/>
          <w:sz w:val="16"/>
          <w:szCs w:val="16"/>
        </w:rPr>
        <w:t xml:space="preserve"> – SE</w:t>
      </w:r>
      <w:r w:rsidR="00E8286B" w:rsidRPr="00E8286B">
        <w:rPr>
          <w:rFonts w:ascii="Arial" w:hAnsi="Arial" w:cs="Arial"/>
          <w:sz w:val="16"/>
          <w:szCs w:val="16"/>
        </w:rPr>
        <w:t>DUC</w:t>
      </w:r>
      <w:r w:rsidR="008F6F35" w:rsidRPr="00E8286B">
        <w:rPr>
          <w:rFonts w:ascii="Arial" w:hAnsi="Arial" w:cs="Arial"/>
          <w:sz w:val="16"/>
          <w:szCs w:val="16"/>
        </w:rPr>
        <w:t>, 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w:t>
      </w:r>
      <w:r w:rsidR="00BB3F4D">
        <w:rPr>
          <w:rFonts w:ascii="Arial" w:hAnsi="Arial" w:cs="Arial"/>
          <w:sz w:val="16"/>
          <w:szCs w:val="16"/>
        </w:rPr>
        <w:t>para futura e eventual a</w:t>
      </w:r>
      <w:r w:rsidR="00E8286B" w:rsidRPr="00E8286B">
        <w:rPr>
          <w:rFonts w:ascii="Arial" w:hAnsi="Arial" w:cs="Arial"/>
          <w:sz w:val="16"/>
          <w:szCs w:val="16"/>
        </w:rPr>
        <w:t xml:space="preserve">quisição </w:t>
      </w:r>
      <w:r w:rsidR="00BB3F4D" w:rsidRPr="00BB3F4D">
        <w:rPr>
          <w:rFonts w:ascii="Arial" w:hAnsi="Arial" w:cs="Arial"/>
          <w:sz w:val="16"/>
          <w:szCs w:val="16"/>
        </w:rPr>
        <w:t>de material de consumo (expediente/pedagógico)</w:t>
      </w:r>
      <w:r w:rsidR="00E8286B" w:rsidRPr="00E8286B">
        <w:rPr>
          <w:rFonts w:ascii="Arial" w:hAnsi="Arial" w:cs="Arial"/>
          <w:b/>
          <w:bCs/>
          <w:sz w:val="16"/>
          <w:szCs w:val="16"/>
        </w:rPr>
        <w:t>,</w:t>
      </w:r>
      <w:r w:rsidR="00E8286B" w:rsidRPr="00E8286B">
        <w:rPr>
          <w:rStyle w:val="Forte"/>
          <w:rFonts w:ascii="Arial" w:eastAsiaTheme="majorEastAsia" w:hAnsi="Arial" w:cs="Arial"/>
          <w:sz w:val="16"/>
          <w:szCs w:val="16"/>
        </w:rPr>
        <w:t xml:space="preserve"> </w:t>
      </w:r>
      <w:r w:rsidR="00E8286B" w:rsidRPr="00E8286B">
        <w:rPr>
          <w:rFonts w:ascii="Arial" w:hAnsi="Arial" w:cs="Arial"/>
          <w:sz w:val="16"/>
          <w:szCs w:val="16"/>
        </w:rPr>
        <w:t>a pedido da Secretaria de Estado da Educação – SEDUC</w:t>
      </w:r>
      <w:r w:rsidR="00FF40F2" w:rsidRPr="00E75D2B">
        <w:rPr>
          <w:rFonts w:ascii="Arial" w:hAnsi="Arial" w:cs="Arial"/>
          <w:color w:val="FF0000"/>
          <w:sz w:val="16"/>
          <w:szCs w:val="16"/>
        </w:rPr>
        <w:t>.</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E8286B" w:rsidRPr="00E8286B" w:rsidRDefault="00206244" w:rsidP="00E8286B">
      <w:pPr>
        <w:pStyle w:val="textojustificado"/>
        <w:spacing w:before="120" w:beforeAutospacing="0" w:after="120" w:afterAutospacing="0"/>
        <w:ind w:right="120"/>
        <w:jc w:val="both"/>
        <w:rPr>
          <w:rFonts w:ascii="Arial" w:hAnsi="Arial" w:cs="Arial"/>
          <w:color w:val="000000"/>
          <w:sz w:val="16"/>
          <w:szCs w:val="16"/>
        </w:rPr>
      </w:pPr>
      <w:r w:rsidRPr="005C7E29">
        <w:rPr>
          <w:rFonts w:ascii="Arial" w:hAnsi="Arial" w:cs="Arial"/>
          <w:b/>
          <w:color w:val="000000" w:themeColor="text1"/>
          <w:sz w:val="16"/>
          <w:szCs w:val="16"/>
        </w:rPr>
        <w:t>6.3. DO PRAZO DE ENTREGA</w:t>
      </w:r>
      <w:r w:rsidR="006D1053" w:rsidRPr="005C7E29">
        <w:rPr>
          <w:rFonts w:ascii="Arial" w:hAnsi="Arial" w:cs="Arial"/>
          <w:b/>
          <w:color w:val="000000" w:themeColor="text1"/>
          <w:sz w:val="16"/>
          <w:szCs w:val="16"/>
        </w:rPr>
        <w:t>:</w:t>
      </w:r>
      <w:r w:rsidR="00416202" w:rsidRPr="00E8286B">
        <w:rPr>
          <w:rFonts w:ascii="Arial" w:hAnsi="Arial" w:cs="Arial"/>
          <w:b/>
          <w:color w:val="FF0000"/>
          <w:sz w:val="16"/>
          <w:szCs w:val="16"/>
        </w:rPr>
        <w:t xml:space="preserve"> </w:t>
      </w:r>
      <w:r w:rsidR="005C7E29" w:rsidRPr="005C7E29">
        <w:rPr>
          <w:rFonts w:ascii="Arial" w:hAnsi="Arial" w:cs="Arial"/>
          <w:sz w:val="16"/>
          <w:szCs w:val="16"/>
        </w:rPr>
        <w:t>Os materiais/bens</w:t>
      </w:r>
      <w:proofErr w:type="gramStart"/>
      <w:r w:rsidR="005C7E29" w:rsidRPr="005C7E29">
        <w:rPr>
          <w:rFonts w:ascii="Arial" w:hAnsi="Arial" w:cs="Arial"/>
          <w:sz w:val="16"/>
          <w:szCs w:val="16"/>
        </w:rPr>
        <w:t>, deverão</w:t>
      </w:r>
      <w:proofErr w:type="gramEnd"/>
      <w:r w:rsidR="005C7E29" w:rsidRPr="005C7E29">
        <w:rPr>
          <w:rFonts w:ascii="Arial" w:hAnsi="Arial" w:cs="Arial"/>
          <w:sz w:val="16"/>
          <w:szCs w:val="16"/>
        </w:rPr>
        <w:t xml:space="preserve"> ser entregues, no prazo de até 30 (trinta) dias consecutivos, contados a partir do primeiro dia útil após o recebimento da Nota de Empenho – NE ou outro documento equivalente, em remessa única.</w:t>
      </w:r>
    </w:p>
    <w:p w:rsidR="00B0336B" w:rsidRPr="005C7E29" w:rsidRDefault="00E370C4" w:rsidP="005C7E29">
      <w:pPr>
        <w:pStyle w:val="textojustificado"/>
        <w:spacing w:before="120" w:beforeAutospacing="0" w:after="120" w:afterAutospacing="0"/>
        <w:ind w:right="120"/>
        <w:jc w:val="both"/>
        <w:rPr>
          <w:rFonts w:ascii="Arial" w:hAnsi="Arial" w:cs="Arial"/>
          <w:sz w:val="16"/>
          <w:szCs w:val="16"/>
        </w:rPr>
      </w:pPr>
      <w:r w:rsidRPr="005C7E29">
        <w:rPr>
          <w:rFonts w:ascii="Arial" w:hAnsi="Arial" w:cs="Arial"/>
          <w:b/>
          <w:color w:val="000000" w:themeColor="text1"/>
          <w:sz w:val="16"/>
          <w:szCs w:val="16"/>
        </w:rPr>
        <w:t>6.4. DO LOCAL DE ENTREGA:</w:t>
      </w:r>
      <w:r w:rsidRPr="00E8286B">
        <w:rPr>
          <w:rFonts w:ascii="Arial" w:hAnsi="Arial" w:cs="Arial"/>
          <w:b/>
          <w:color w:val="FF0000"/>
          <w:sz w:val="16"/>
          <w:szCs w:val="16"/>
        </w:rPr>
        <w:t xml:space="preserve"> </w:t>
      </w:r>
      <w:r w:rsidR="005C7E29" w:rsidRPr="005C7E29">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C601F9" w:rsidRPr="005C7E29" w:rsidRDefault="006E65B3" w:rsidP="004E5DE6">
      <w:pPr>
        <w:pStyle w:val="Lista2"/>
        <w:ind w:left="0" w:firstLine="0"/>
        <w:jc w:val="both"/>
        <w:rPr>
          <w:b/>
          <w:bCs/>
          <w:color w:val="000000" w:themeColor="text1"/>
          <w:sz w:val="16"/>
          <w:szCs w:val="16"/>
        </w:rPr>
      </w:pPr>
      <w:r w:rsidRPr="005C7E29">
        <w:rPr>
          <w:b/>
          <w:bCs/>
          <w:color w:val="000000" w:themeColor="text1"/>
          <w:sz w:val="16"/>
          <w:szCs w:val="16"/>
        </w:rPr>
        <w:t xml:space="preserve">9. </w:t>
      </w:r>
      <w:r w:rsidR="009D2314" w:rsidRPr="005C7E29">
        <w:rPr>
          <w:b/>
          <w:bCs/>
          <w:color w:val="000000" w:themeColor="text1"/>
          <w:sz w:val="16"/>
          <w:szCs w:val="16"/>
        </w:rPr>
        <w:t xml:space="preserve">DAS SANÇÕES </w:t>
      </w:r>
    </w:p>
    <w:p w:rsidR="002D52F9" w:rsidRPr="005D06A3" w:rsidRDefault="00F864AC" w:rsidP="002D52F9">
      <w:pPr>
        <w:spacing w:before="120" w:after="120"/>
        <w:ind w:right="120"/>
        <w:rPr>
          <w:rFonts w:ascii="Arial" w:hAnsi="Arial" w:cs="Arial"/>
          <w:sz w:val="16"/>
          <w:szCs w:val="16"/>
        </w:rPr>
      </w:pPr>
      <w:r w:rsidRPr="005D06A3">
        <w:rPr>
          <w:b/>
          <w:bCs/>
        </w:rPr>
        <w:t>9.1. </w:t>
      </w:r>
      <w:r w:rsidR="002D52F9" w:rsidRPr="005D06A3">
        <w:rPr>
          <w:rFonts w:ascii="Arial" w:hAnsi="Arial" w:cs="Arial"/>
          <w:sz w:val="16"/>
          <w:szCs w:val="16"/>
        </w:rPr>
        <w:t>Além daquelas determinadas por leis, decretos, regulamentos e demais dispositivos legais, a CONTRATADA estará sujeita as sanções definidas neste Termo de Referência.</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9.2.</w:t>
      </w:r>
      <w:r w:rsidRPr="005D06A3">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19.11 do </w:t>
      </w:r>
      <w:proofErr w:type="spellStart"/>
      <w:r w:rsidRPr="005D06A3">
        <w:rPr>
          <w:rFonts w:ascii="Arial" w:hAnsi="Arial" w:cs="Arial"/>
          <w:sz w:val="16"/>
          <w:szCs w:val="16"/>
        </w:rPr>
        <w:t>T.R.</w:t>
      </w:r>
      <w:proofErr w:type="spellEnd"/>
      <w:r w:rsidRPr="005D06A3">
        <w:rPr>
          <w:rFonts w:ascii="Arial" w:hAnsi="Arial" w:cs="Arial"/>
          <w:sz w:val="16"/>
          <w:szCs w:val="16"/>
        </w:rPr>
        <w:t>), sobre a parcela inadimplida do contrato.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9.3.</w:t>
      </w:r>
      <w:r w:rsidRPr="005D06A3">
        <w:rPr>
          <w:rFonts w:ascii="Arial" w:hAnsi="Arial" w:cs="Arial"/>
          <w:sz w:val="16"/>
          <w:szCs w:val="16"/>
        </w:rPr>
        <w:t>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lastRenderedPageBreak/>
        <w:t>9.4.</w:t>
      </w:r>
      <w:r w:rsidRPr="005D06A3">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D06A3">
        <w:rPr>
          <w:rFonts w:ascii="Arial" w:hAnsi="Arial" w:cs="Arial"/>
          <w:sz w:val="16"/>
          <w:szCs w:val="16"/>
        </w:rPr>
        <w:t>descredenciado no Cadastro de Fornecedores Estadual</w:t>
      </w:r>
      <w:proofErr w:type="gramEnd"/>
      <w:r w:rsidRPr="005D06A3">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9.5</w:t>
      </w:r>
      <w:r w:rsidRPr="005D06A3">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5D06A3" w:rsidRDefault="002D52F9" w:rsidP="002D52F9">
      <w:pPr>
        <w:spacing w:before="120" w:after="120"/>
        <w:ind w:right="120"/>
        <w:rPr>
          <w:rFonts w:ascii="Arial" w:hAnsi="Arial" w:cs="Arial"/>
          <w:sz w:val="16"/>
          <w:szCs w:val="16"/>
        </w:rPr>
      </w:pPr>
      <w:r w:rsidRPr="005D06A3">
        <w:rPr>
          <w:rFonts w:ascii="Arial" w:hAnsi="Arial" w:cs="Arial"/>
          <w:b/>
          <w:sz w:val="16"/>
          <w:szCs w:val="16"/>
        </w:rPr>
        <w:t>9.6.</w:t>
      </w:r>
      <w:r w:rsidRPr="005D06A3">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9.7.</w:t>
      </w:r>
      <w:r w:rsidRPr="005D06A3">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9.8.</w:t>
      </w:r>
      <w:r w:rsidRPr="005D06A3">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9.9</w:t>
      </w:r>
      <w:r w:rsidRPr="005D06A3">
        <w:rPr>
          <w:rFonts w:ascii="Arial" w:hAnsi="Arial" w:cs="Arial"/>
          <w:sz w:val="16"/>
          <w:szCs w:val="16"/>
        </w:rPr>
        <w:t>. São exemplos de infração administrativa penalizáveis, nos termos da Lei nº 8.666, de 1993, da Lei nº 10.520, de 2002, dos Decretos Estaduais nº 12.205/06 e 12.234/06 (Pregão Eletrônico e Presencial):</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a</w:t>
      </w:r>
      <w:proofErr w:type="gramEnd"/>
      <w:r w:rsidRPr="005D06A3">
        <w:rPr>
          <w:rFonts w:ascii="Arial" w:hAnsi="Arial" w:cs="Arial"/>
          <w:sz w:val="16"/>
          <w:szCs w:val="16"/>
        </w:rPr>
        <w:t>) Inexecução total ou parcial do contrato;</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b)</w:t>
      </w:r>
      <w:proofErr w:type="gramEnd"/>
      <w:r w:rsidRPr="005D06A3">
        <w:rPr>
          <w:rFonts w:ascii="Arial" w:hAnsi="Arial" w:cs="Arial"/>
          <w:sz w:val="16"/>
          <w:szCs w:val="16"/>
        </w:rPr>
        <w:t> Apresentação de documentação falsa;</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c)</w:t>
      </w:r>
      <w:proofErr w:type="gramEnd"/>
      <w:r w:rsidRPr="005D06A3">
        <w:rPr>
          <w:rFonts w:ascii="Arial" w:hAnsi="Arial" w:cs="Arial"/>
          <w:sz w:val="16"/>
          <w:szCs w:val="16"/>
        </w:rPr>
        <w:t> Comportamento inidôneo;</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d)</w:t>
      </w:r>
      <w:proofErr w:type="gramEnd"/>
      <w:r w:rsidRPr="005D06A3">
        <w:rPr>
          <w:rFonts w:ascii="Arial" w:hAnsi="Arial" w:cs="Arial"/>
          <w:sz w:val="16"/>
          <w:szCs w:val="16"/>
        </w:rPr>
        <w:t> Fraude fiscal;</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e</w:t>
      </w:r>
      <w:proofErr w:type="gramEnd"/>
      <w:r w:rsidRPr="005D06A3">
        <w:rPr>
          <w:rFonts w:ascii="Arial" w:hAnsi="Arial" w:cs="Arial"/>
          <w:sz w:val="16"/>
          <w:szCs w:val="16"/>
        </w:rPr>
        <w:t>) Descumprimento de qualquer dos deveres elencados no Edital ou no Contrato.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9.10</w:t>
      </w:r>
      <w:r w:rsidRPr="005D06A3">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9.11</w:t>
      </w:r>
      <w:r w:rsidRPr="005D06A3">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51"/>
        <w:gridCol w:w="733"/>
        <w:gridCol w:w="1036"/>
      </w:tblGrid>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MULTA*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0,4%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 </w:t>
            </w:r>
            <w:proofErr w:type="gramStart"/>
            <w:r w:rsidRPr="005D06A3">
              <w:rPr>
                <w:rFonts w:ascii="Arial" w:hAnsi="Arial" w:cs="Arial"/>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1,6%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3,2%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3,2%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 xml:space="preserve">Permitir situação que crie a possibilidade ou cause </w:t>
            </w:r>
            <w:proofErr w:type="gramStart"/>
            <w:r w:rsidRPr="005D06A3">
              <w:rPr>
                <w:rFonts w:ascii="Arial" w:hAnsi="Arial" w:cs="Arial"/>
                <w:sz w:val="16"/>
                <w:szCs w:val="16"/>
              </w:rPr>
              <w:t>danos físico</w:t>
            </w:r>
            <w:proofErr w:type="gramEnd"/>
            <w:r w:rsidRPr="005D06A3">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4,0%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10 %</w:t>
            </w:r>
          </w:p>
        </w:tc>
      </w:tr>
      <w:tr w:rsidR="002D52F9" w:rsidRPr="005D06A3" w:rsidTr="00EE738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Para os itens a seguir, deixar de:</w:t>
            </w:r>
          </w:p>
        </w:tc>
      </w:tr>
      <w:tr w:rsidR="002D52F9" w:rsidRPr="005D06A3" w:rsidTr="00EE738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 </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0,2%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0,2%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proofErr w:type="gramStart"/>
            <w:r w:rsidRPr="005D06A3">
              <w:rPr>
                <w:rFonts w:ascii="Arial" w:hAnsi="Arial" w:cs="Arial"/>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0,4%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0,8% por dia</w:t>
            </w:r>
          </w:p>
        </w:tc>
      </w:tr>
      <w:tr w:rsidR="002D52F9" w:rsidRPr="005D06A3" w:rsidTr="00EE738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D52F9" w:rsidRPr="005D06A3" w:rsidRDefault="002D52F9" w:rsidP="00EE7384">
            <w:pPr>
              <w:spacing w:before="120" w:after="120"/>
              <w:ind w:left="120" w:right="120"/>
              <w:jc w:val="center"/>
              <w:rPr>
                <w:rFonts w:ascii="Arial" w:hAnsi="Arial" w:cs="Arial"/>
                <w:sz w:val="16"/>
                <w:szCs w:val="16"/>
              </w:rPr>
            </w:pPr>
            <w:r w:rsidRPr="005D06A3">
              <w:rPr>
                <w:rFonts w:ascii="Arial" w:hAnsi="Arial" w:cs="Arial"/>
                <w:sz w:val="16"/>
                <w:szCs w:val="16"/>
              </w:rPr>
              <w:t>0,8% por dia</w:t>
            </w:r>
          </w:p>
        </w:tc>
      </w:tr>
    </w:tbl>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lastRenderedPageBreak/>
        <w:t>9.12.</w:t>
      </w:r>
      <w:r w:rsidRPr="005D06A3">
        <w:rPr>
          <w:rFonts w:ascii="Arial" w:hAnsi="Arial" w:cs="Arial"/>
          <w:sz w:val="16"/>
          <w:szCs w:val="16"/>
        </w:rPr>
        <w:t> As sanções aqui previstas poderão ser aplicadas concomitantemente, facultada a defesa prévia do interessado, no respectivo processo, no prazo de 05 (cinco) dias úteis.</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9.13.</w:t>
      </w:r>
      <w:r w:rsidRPr="005D06A3">
        <w:rPr>
          <w:rFonts w:ascii="Arial" w:hAnsi="Arial" w:cs="Arial"/>
          <w:sz w:val="16"/>
          <w:szCs w:val="16"/>
        </w:rPr>
        <w:t> Após 30 (trinta) dias da falta de execução do objeto, será considerada inexecução total do contrato, o que ensejará a rescisão contratual.</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9.14.</w:t>
      </w:r>
      <w:r w:rsidRPr="005D06A3">
        <w:rPr>
          <w:rFonts w:ascii="Arial" w:hAnsi="Arial" w:cs="Arial"/>
          <w:sz w:val="16"/>
          <w:szCs w:val="16"/>
        </w:rPr>
        <w:t> As sanções de natureza pecuniária serão diretamente descontadas de créditos que eventualmente detenha a CONTRATADA ou efetuada a sua cobrança na forma prevista em lei.</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9.15</w:t>
      </w:r>
      <w:r w:rsidRPr="005D06A3">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9.16</w:t>
      </w:r>
      <w:r w:rsidRPr="005D06A3">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D06A3"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9.17.</w:t>
      </w:r>
      <w:r w:rsidRPr="005D06A3">
        <w:rPr>
          <w:rFonts w:ascii="Arial" w:hAnsi="Arial" w:cs="Arial"/>
          <w:sz w:val="16"/>
          <w:szCs w:val="16"/>
        </w:rPr>
        <w:t> A sanção será obrigatoriamente registrada no Sistema de Cadastramento Unificado de Fornecedores - SICAF, bem como em sistemas Estaduais.</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9.18</w:t>
      </w:r>
      <w:r w:rsidRPr="005D06A3">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a</w:t>
      </w:r>
      <w:proofErr w:type="gramEnd"/>
      <w:r w:rsidRPr="005D06A3">
        <w:rPr>
          <w:rFonts w:ascii="Arial" w:hAnsi="Arial" w:cs="Arial"/>
          <w:sz w:val="16"/>
          <w:szCs w:val="16"/>
        </w:rPr>
        <w:t>) Tenham sofrido condenações definitivas por praticarem, por meio dolosos, fraude fiscal no recolhimento de tributos;</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b)</w:t>
      </w:r>
      <w:proofErr w:type="gramEnd"/>
      <w:r w:rsidRPr="005D06A3">
        <w:rPr>
          <w:rFonts w:ascii="Arial" w:hAnsi="Arial" w:cs="Arial"/>
          <w:sz w:val="16"/>
          <w:szCs w:val="16"/>
        </w:rPr>
        <w:t> Tenham praticado atos ilícitos visando a frustrar os objetivos da licitação;</w:t>
      </w:r>
    </w:p>
    <w:p w:rsidR="002D52F9" w:rsidRPr="005D06A3" w:rsidRDefault="002D52F9" w:rsidP="005D06A3">
      <w:pPr>
        <w:spacing w:before="120" w:after="120"/>
        <w:ind w:right="120"/>
        <w:rPr>
          <w:rFonts w:ascii="Arial" w:hAnsi="Arial" w:cs="Arial"/>
          <w:sz w:val="16"/>
          <w:szCs w:val="16"/>
        </w:rPr>
      </w:pPr>
      <w:proofErr w:type="gramStart"/>
      <w:r w:rsidRPr="005D06A3">
        <w:rPr>
          <w:rFonts w:ascii="Arial" w:hAnsi="Arial" w:cs="Arial"/>
          <w:sz w:val="16"/>
          <w:szCs w:val="16"/>
        </w:rPr>
        <w:t>c)</w:t>
      </w:r>
      <w:proofErr w:type="gramEnd"/>
      <w:r w:rsidRPr="005D06A3">
        <w:rPr>
          <w:rFonts w:ascii="Arial" w:hAnsi="Arial" w:cs="Arial"/>
          <w:sz w:val="16"/>
          <w:szCs w:val="16"/>
        </w:rPr>
        <w:t> Demonstrem não possuir idoneidade para contratar com a Administração em virtude de atos ilícitos praticados.</w:t>
      </w:r>
    </w:p>
    <w:p w:rsidR="002D52F9" w:rsidRPr="005D06A3" w:rsidRDefault="002D52F9" w:rsidP="005D06A3">
      <w:pPr>
        <w:spacing w:before="120" w:after="120"/>
        <w:ind w:right="120"/>
        <w:rPr>
          <w:rFonts w:ascii="Arial" w:hAnsi="Arial" w:cs="Arial"/>
          <w:sz w:val="16"/>
          <w:szCs w:val="16"/>
        </w:rPr>
      </w:pPr>
      <w:r w:rsidRPr="005D06A3">
        <w:rPr>
          <w:rFonts w:ascii="Arial" w:hAnsi="Arial" w:cs="Arial"/>
          <w:b/>
          <w:sz w:val="16"/>
          <w:szCs w:val="16"/>
        </w:rPr>
        <w:t>9.19</w:t>
      </w:r>
      <w:r w:rsidRPr="005D06A3">
        <w:rPr>
          <w:rFonts w:ascii="Arial" w:hAnsi="Arial" w:cs="Arial"/>
          <w:sz w:val="16"/>
          <w:szCs w:val="16"/>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52F9" w:rsidRPr="005D06A3" w:rsidRDefault="002D52F9" w:rsidP="002D52F9">
      <w:pPr>
        <w:spacing w:before="120" w:after="120"/>
        <w:ind w:right="120"/>
        <w:rPr>
          <w:rFonts w:ascii="Arial" w:hAnsi="Arial" w:cs="Arial"/>
          <w:sz w:val="16"/>
          <w:szCs w:val="16"/>
        </w:rPr>
      </w:pPr>
      <w:r w:rsidRPr="005D06A3">
        <w:rPr>
          <w:rFonts w:ascii="Arial" w:hAnsi="Arial" w:cs="Arial"/>
          <w:b/>
          <w:sz w:val="16"/>
          <w:szCs w:val="16"/>
        </w:rPr>
        <w:t>9.20.</w:t>
      </w:r>
      <w:r w:rsidRPr="005D06A3">
        <w:rPr>
          <w:rFonts w:ascii="Arial" w:hAnsi="Arial" w:cs="Arial"/>
          <w:sz w:val="16"/>
          <w:szCs w:val="16"/>
        </w:rPr>
        <w:t> Na hipótese de apresentar documentação inverossímil ou de cometer fraude, o licitante poderá sofrer sem prejuízo da comunicação do ocorrido ao Ministério Público, quaisquer das sanções previstas, que poderão ser aplicadas cumulativamente.</w:t>
      </w:r>
    </w:p>
    <w:p w:rsidR="002D52F9" w:rsidRPr="00040BA5" w:rsidRDefault="002D52F9" w:rsidP="002D52F9">
      <w:pPr>
        <w:spacing w:before="120" w:after="120"/>
        <w:ind w:right="120"/>
        <w:rPr>
          <w:color w:val="000000"/>
          <w:sz w:val="22"/>
          <w:szCs w:val="22"/>
        </w:rPr>
      </w:pPr>
      <w:r w:rsidRPr="005D06A3">
        <w:rPr>
          <w:rFonts w:ascii="Arial" w:hAnsi="Arial" w:cs="Arial"/>
          <w:b/>
          <w:sz w:val="16"/>
          <w:szCs w:val="16"/>
        </w:rPr>
        <w:t>9.21</w:t>
      </w:r>
      <w:r w:rsidRPr="005D06A3">
        <w:rPr>
          <w:rFonts w:ascii="Arial" w:hAnsi="Arial" w:cs="Arial"/>
          <w:sz w:val="16"/>
          <w:szCs w:val="16"/>
        </w:rPr>
        <w:t>. Nenhuma sanção será aplicada sem o devido processo administrativo, que prevê defesa prévia do interessado e recurso nos prazos definidos em Lei, sendo-lhe franqueada vista ao processo</w:t>
      </w:r>
      <w:r w:rsidRPr="00040BA5">
        <w:rPr>
          <w:color w:val="000000"/>
          <w:sz w:val="22"/>
          <w:szCs w:val="22"/>
        </w:rPr>
        <w:t>.</w:t>
      </w:r>
    </w:p>
    <w:p w:rsidR="000E5928" w:rsidRPr="00A709CE" w:rsidRDefault="000E5928" w:rsidP="002D52F9">
      <w:pPr>
        <w:pStyle w:val="textojustificado"/>
        <w:spacing w:before="120" w:beforeAutospacing="0" w:after="120" w:afterAutospacing="0"/>
        <w:ind w:right="12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Pr="003F5233" w:rsidRDefault="00756632" w:rsidP="000C24BD">
      <w:pPr>
        <w:pStyle w:val="Corpodetexto3"/>
        <w:tabs>
          <w:tab w:val="left" w:pos="900"/>
        </w:tabs>
        <w:ind w:right="47"/>
        <w:rPr>
          <w:rFonts w:ascii="Arial" w:hAnsi="Arial" w:cs="Arial"/>
          <w:color w:val="000000" w:themeColor="text1"/>
          <w:sz w:val="16"/>
          <w:szCs w:val="16"/>
        </w:rPr>
      </w:pPr>
      <w:r w:rsidRPr="003F5233">
        <w:rPr>
          <w:rFonts w:ascii="Arial" w:hAnsi="Arial" w:cs="Arial"/>
          <w:b/>
          <w:color w:val="000000" w:themeColor="text1"/>
          <w:sz w:val="16"/>
          <w:szCs w:val="16"/>
        </w:rPr>
        <w:t>SE</w:t>
      </w:r>
      <w:r w:rsidR="00F864AC" w:rsidRPr="003F5233">
        <w:rPr>
          <w:rFonts w:ascii="Arial" w:hAnsi="Arial" w:cs="Arial"/>
          <w:b/>
          <w:color w:val="000000" w:themeColor="text1"/>
          <w:sz w:val="16"/>
          <w:szCs w:val="16"/>
        </w:rPr>
        <w:t>DUC</w:t>
      </w:r>
      <w:r w:rsidRPr="003F5233">
        <w:rPr>
          <w:rFonts w:ascii="Arial" w:hAnsi="Arial" w:cs="Arial"/>
          <w:color w:val="000000" w:themeColor="text1"/>
          <w:sz w:val="16"/>
          <w:szCs w:val="16"/>
        </w:rPr>
        <w:t xml:space="preserve"> – Secretaria de Estado da </w:t>
      </w:r>
      <w:r w:rsidR="00F864AC" w:rsidRPr="003F5233">
        <w:rPr>
          <w:rFonts w:ascii="Arial" w:hAnsi="Arial" w:cs="Arial"/>
          <w:color w:val="000000" w:themeColor="text1"/>
          <w:sz w:val="16"/>
          <w:szCs w:val="16"/>
        </w:rPr>
        <w:t>Educação</w:t>
      </w:r>
      <w:r w:rsidRPr="003F5233">
        <w:rPr>
          <w:rFonts w:ascii="Arial" w:hAnsi="Arial" w:cs="Arial"/>
          <w:color w:val="000000" w:themeColor="text1"/>
          <w:sz w:val="16"/>
          <w:szCs w:val="16"/>
        </w:rPr>
        <w:t>.</w:t>
      </w:r>
    </w:p>
    <w:p w:rsidR="000C24BD" w:rsidRPr="00E75D2B" w:rsidRDefault="000C24B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Pr="003F5233" w:rsidRDefault="006F2C3D" w:rsidP="00526790">
      <w:pPr>
        <w:ind w:right="47"/>
        <w:jc w:val="both"/>
        <w:rPr>
          <w:rFonts w:ascii="Arial" w:hAnsi="Arial" w:cs="Arial"/>
          <w:b/>
          <w:bCs/>
          <w:color w:val="000000" w:themeColor="text1"/>
          <w:sz w:val="16"/>
          <w:szCs w:val="16"/>
        </w:rPr>
      </w:pPr>
    </w:p>
    <w:p w:rsidR="00C50BF7" w:rsidRPr="003F5233" w:rsidRDefault="003F5233" w:rsidP="00526790">
      <w:pPr>
        <w:ind w:right="47"/>
        <w:jc w:val="both"/>
        <w:rPr>
          <w:rFonts w:ascii="Arial" w:hAnsi="Arial" w:cs="Arial"/>
          <w:b/>
          <w:bCs/>
          <w:color w:val="000000" w:themeColor="text1"/>
          <w:sz w:val="10"/>
          <w:szCs w:val="10"/>
        </w:rPr>
      </w:pPr>
      <w:r>
        <w:rPr>
          <w:rFonts w:ascii="Arial" w:hAnsi="Arial" w:cs="Arial"/>
          <w:b/>
          <w:bCs/>
          <w:color w:val="000000" w:themeColor="text1"/>
          <w:sz w:val="10"/>
          <w:szCs w:val="10"/>
        </w:rPr>
        <w:t>FBM</w:t>
      </w:r>
      <w:r w:rsidR="002660D3" w:rsidRPr="003F5233">
        <w:rPr>
          <w:rFonts w:ascii="Arial" w:hAnsi="Arial" w:cs="Arial"/>
          <w:b/>
          <w:bCs/>
          <w:color w:val="000000" w:themeColor="text1"/>
          <w:sz w:val="10"/>
          <w:szCs w:val="10"/>
        </w:rPr>
        <w:t>/</w:t>
      </w:r>
      <w:r w:rsidR="00BA5836" w:rsidRPr="003F5233">
        <w:rPr>
          <w:rFonts w:ascii="Arial" w:hAnsi="Arial" w:cs="Arial"/>
          <w:b/>
          <w:bCs/>
          <w:color w:val="000000" w:themeColor="text1"/>
          <w:sz w:val="10"/>
          <w:szCs w:val="10"/>
        </w:rPr>
        <w:t>SRP</w:t>
      </w:r>
      <w:bookmarkEnd w:id="1"/>
    </w:p>
    <w:sectPr w:rsidR="00C50BF7" w:rsidRPr="003F52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2">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1"/>
  </w:num>
  <w:num w:numId="3">
    <w:abstractNumId w:val="19"/>
  </w:num>
  <w:num w:numId="4">
    <w:abstractNumId w:val="17"/>
  </w:num>
  <w:num w:numId="5">
    <w:abstractNumId w:val="32"/>
  </w:num>
  <w:num w:numId="6">
    <w:abstractNumId w:val="15"/>
    <w:lvlOverride w:ilvl="0">
      <w:startOverride w:val="2"/>
    </w:lvlOverride>
  </w:num>
  <w:num w:numId="7">
    <w:abstractNumId w:val="27"/>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8"/>
    <w:lvlOverride w:ilvl="0">
      <w:startOverride w:val="7"/>
    </w:lvlOverride>
  </w:num>
  <w:num w:numId="12">
    <w:abstractNumId w:val="9"/>
    <w:lvlOverride w:ilvl="0">
      <w:startOverride w:val="8"/>
    </w:lvlOverride>
  </w:num>
  <w:num w:numId="13">
    <w:abstractNumId w:val="34"/>
    <w:lvlOverride w:ilvl="0">
      <w:startOverride w:val="9"/>
    </w:lvlOverride>
  </w:num>
  <w:num w:numId="14">
    <w:abstractNumId w:val="5"/>
    <w:lvlOverride w:ilvl="0">
      <w:startOverride w:val="10"/>
    </w:lvlOverride>
  </w:num>
  <w:num w:numId="15">
    <w:abstractNumId w:val="26"/>
    <w:lvlOverride w:ilvl="0">
      <w:startOverride w:val="11"/>
    </w:lvlOverride>
  </w:num>
  <w:num w:numId="16">
    <w:abstractNumId w:val="14"/>
  </w:num>
  <w:num w:numId="17">
    <w:abstractNumId w:val="43"/>
    <w:lvlOverride w:ilvl="0">
      <w:startOverride w:val="2"/>
    </w:lvlOverride>
  </w:num>
  <w:num w:numId="18">
    <w:abstractNumId w:val="42"/>
    <w:lvlOverride w:ilvl="0">
      <w:startOverride w:val="3"/>
    </w:lvlOverride>
  </w:num>
  <w:num w:numId="19">
    <w:abstractNumId w:val="40"/>
    <w:lvlOverride w:ilvl="0">
      <w:startOverride w:val="4"/>
    </w:lvlOverride>
  </w:num>
  <w:num w:numId="20">
    <w:abstractNumId w:val="23"/>
    <w:lvlOverride w:ilvl="0">
      <w:startOverride w:val="5"/>
    </w:lvlOverride>
  </w:num>
  <w:num w:numId="21">
    <w:abstractNumId w:val="25"/>
    <w:lvlOverride w:ilvl="0">
      <w:startOverride w:val="6"/>
    </w:lvlOverride>
  </w:num>
  <w:num w:numId="22">
    <w:abstractNumId w:val="38"/>
    <w:lvlOverride w:ilvl="0">
      <w:startOverride w:val="7"/>
    </w:lvlOverride>
  </w:num>
  <w:num w:numId="23">
    <w:abstractNumId w:val="31"/>
    <w:lvlOverride w:ilvl="0">
      <w:startOverride w:val="8"/>
    </w:lvlOverride>
  </w:num>
  <w:num w:numId="24">
    <w:abstractNumId w:val="24"/>
    <w:lvlOverride w:ilvl="0">
      <w:startOverride w:val="9"/>
    </w:lvlOverride>
  </w:num>
  <w:num w:numId="25">
    <w:abstractNumId w:val="16"/>
    <w:lvlOverride w:ilvl="0">
      <w:startOverride w:val="10"/>
    </w:lvlOverride>
  </w:num>
  <w:num w:numId="26">
    <w:abstractNumId w:val="2"/>
    <w:lvlOverride w:ilvl="0">
      <w:startOverride w:val="11"/>
    </w:lvlOverride>
  </w:num>
  <w:num w:numId="27">
    <w:abstractNumId w:val="10"/>
  </w:num>
  <w:num w:numId="28">
    <w:abstractNumId w:val="35"/>
    <w:lvlOverride w:ilvl="0">
      <w:startOverride w:val="2"/>
    </w:lvlOverride>
  </w:num>
  <w:num w:numId="29">
    <w:abstractNumId w:val="39"/>
    <w:lvlOverride w:ilvl="0">
      <w:startOverride w:val="3"/>
    </w:lvlOverride>
  </w:num>
  <w:num w:numId="30">
    <w:abstractNumId w:val="13"/>
    <w:lvlOverride w:ilvl="0">
      <w:startOverride w:val="4"/>
    </w:lvlOverride>
  </w:num>
  <w:num w:numId="31">
    <w:abstractNumId w:val="12"/>
    <w:lvlOverride w:ilvl="0">
      <w:startOverride w:val="5"/>
    </w:lvlOverride>
  </w:num>
  <w:num w:numId="32">
    <w:abstractNumId w:val="33"/>
    <w:lvlOverride w:ilvl="0">
      <w:startOverride w:val="6"/>
    </w:lvlOverride>
  </w:num>
  <w:num w:numId="33">
    <w:abstractNumId w:val="36"/>
    <w:lvlOverride w:ilvl="0">
      <w:startOverride w:val="7"/>
    </w:lvlOverride>
  </w:num>
  <w:num w:numId="34">
    <w:abstractNumId w:val="22"/>
    <w:lvlOverride w:ilvl="0">
      <w:startOverride w:val="8"/>
    </w:lvlOverride>
  </w:num>
  <w:num w:numId="35">
    <w:abstractNumId w:val="4"/>
    <w:lvlOverride w:ilvl="0">
      <w:startOverride w:val="9"/>
    </w:lvlOverride>
  </w:num>
  <w:num w:numId="36">
    <w:abstractNumId w:val="37"/>
    <w:lvlOverride w:ilvl="0">
      <w:startOverride w:val="10"/>
    </w:lvlOverride>
  </w:num>
  <w:num w:numId="37">
    <w:abstractNumId w:val="20"/>
    <w:lvlOverride w:ilvl="0">
      <w:startOverride w:val="11"/>
    </w:lvlOverride>
  </w:num>
  <w:num w:numId="38">
    <w:abstractNumId w:val="41"/>
  </w:num>
  <w:num w:numId="39">
    <w:abstractNumId w:val="8"/>
    <w:lvlOverride w:ilvl="0">
      <w:startOverride w:val="2"/>
    </w:lvlOverride>
  </w:num>
  <w:num w:numId="40">
    <w:abstractNumId w:val="11"/>
    <w:lvlOverride w:ilvl="0">
      <w:startOverride w:val="3"/>
    </w:lvlOverride>
  </w:num>
  <w:num w:numId="41">
    <w:abstractNumId w:val="18"/>
    <w:lvlOverride w:ilvl="0">
      <w:startOverride w:val="4"/>
    </w:lvlOverride>
  </w:num>
  <w:num w:numId="42">
    <w:abstractNumId w:val="30"/>
    <w:lvlOverride w:ilvl="0">
      <w:startOverride w:val="5"/>
    </w:lvlOverride>
  </w:num>
  <w:num w:numId="43">
    <w:abstractNumId w:val="1"/>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52F9"/>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523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C7E29"/>
    <w:rsid w:val="005D06A3"/>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6C20"/>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111F"/>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302F"/>
    <w:rsid w:val="00BA4420"/>
    <w:rsid w:val="00BA56D6"/>
    <w:rsid w:val="00BA5836"/>
    <w:rsid w:val="00BA5F6C"/>
    <w:rsid w:val="00BA6ABA"/>
    <w:rsid w:val="00BA6F41"/>
    <w:rsid w:val="00BA7105"/>
    <w:rsid w:val="00BA7481"/>
    <w:rsid w:val="00BA77B1"/>
    <w:rsid w:val="00BB1491"/>
    <w:rsid w:val="00BB3F4D"/>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61AD7-BF04-4032-8368-F2E768F8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3162</Words>
  <Characters>18159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2018-10-25T15:03:00Z</cp:lastPrinted>
  <dcterms:created xsi:type="dcterms:W3CDTF">2018-12-05T16:32:00Z</dcterms:created>
  <dcterms:modified xsi:type="dcterms:W3CDTF">2018-12-05T16:49:00Z</dcterms:modified>
</cp:coreProperties>
</file>