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A6A80">
        <w:rPr>
          <w:rFonts w:ascii="Arial" w:hAnsi="Arial" w:cs="Arial"/>
          <w:b/>
          <w:sz w:val="16"/>
          <w:szCs w:val="16"/>
        </w:rPr>
        <w:t>254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3A6A80">
        <w:rPr>
          <w:rFonts w:ascii="Arial" w:hAnsi="Arial" w:cs="Arial"/>
          <w:b/>
          <w:bCs/>
          <w:sz w:val="16"/>
          <w:szCs w:val="16"/>
        </w:rPr>
        <w:t>390</w:t>
      </w:r>
      <w:r w:rsidR="005925DA">
        <w:rPr>
          <w:rFonts w:ascii="Arial" w:hAnsi="Arial" w:cs="Arial"/>
          <w:b/>
          <w:bCs/>
          <w:sz w:val="16"/>
          <w:szCs w:val="16"/>
        </w:rPr>
        <w:t>/201</w:t>
      </w:r>
      <w:r w:rsidR="006D1053">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B86923" w:rsidRPr="00B86923">
        <w:rPr>
          <w:rFonts w:ascii="Arial" w:hAnsi="Arial" w:cs="Arial"/>
          <w:b/>
          <w:bCs/>
          <w:sz w:val="16"/>
          <w:szCs w:val="16"/>
        </w:rPr>
        <w:t>0042.</w:t>
      </w:r>
      <w:r w:rsidR="003A6A80">
        <w:rPr>
          <w:rFonts w:ascii="Arial" w:hAnsi="Arial" w:cs="Arial"/>
          <w:b/>
          <w:bCs/>
          <w:sz w:val="16"/>
          <w:szCs w:val="16"/>
        </w:rPr>
        <w:t>069102/2018-91</w:t>
      </w:r>
    </w:p>
    <w:p w:rsidR="00B86923" w:rsidRPr="00FF1F0B" w:rsidRDefault="00B86923" w:rsidP="00B17611">
      <w:pPr>
        <w:jc w:val="both"/>
        <w:rPr>
          <w:rFonts w:ascii="Arial" w:hAnsi="Arial" w:cs="Arial"/>
          <w:b/>
          <w:sz w:val="16"/>
          <w:szCs w:val="16"/>
        </w:rPr>
      </w:pPr>
    </w:p>
    <w:p w:rsidR="009D2314" w:rsidRPr="00A213DA" w:rsidRDefault="002E300A" w:rsidP="00B17611">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C6364D">
        <w:rPr>
          <w:rFonts w:ascii="Arial" w:hAnsi="Arial" w:cs="Arial"/>
          <w:sz w:val="16"/>
          <w:szCs w:val="16"/>
        </w:rPr>
        <w:t>PREÇ</w:t>
      </w:r>
      <w:r w:rsidR="00F17DD3" w:rsidRPr="00C6364D">
        <w:rPr>
          <w:rFonts w:ascii="Arial" w:hAnsi="Arial" w:cs="Arial"/>
          <w:sz w:val="16"/>
          <w:szCs w:val="16"/>
        </w:rPr>
        <w:t>O</w:t>
      </w:r>
      <w:r w:rsidR="007F65D5" w:rsidRPr="00A213DA">
        <w:rPr>
          <w:rFonts w:ascii="Arial" w:hAnsi="Arial" w:cs="Arial"/>
          <w:sz w:val="16"/>
          <w:szCs w:val="16"/>
        </w:rPr>
        <w:t xml:space="preserve"> </w:t>
      </w:r>
      <w:r w:rsidR="00A213DA" w:rsidRPr="00C6364D">
        <w:rPr>
          <w:rFonts w:ascii="Arial" w:hAnsi="Arial" w:cs="Arial"/>
          <w:sz w:val="16"/>
          <w:szCs w:val="16"/>
        </w:rPr>
        <w:t xml:space="preserve">para futura e eventual </w:t>
      </w:r>
      <w:r w:rsidR="003A6A80" w:rsidRPr="003A6A80">
        <w:rPr>
          <w:rFonts w:ascii="Arial" w:hAnsi="Arial" w:cs="Arial"/>
          <w:sz w:val="16"/>
          <w:szCs w:val="16"/>
        </w:rPr>
        <w:t xml:space="preserve">aquisição de material de consumo sendo, (equipamentos de proteção individual </w:t>
      </w:r>
      <w:proofErr w:type="spellStart"/>
      <w:r w:rsidR="003A6A80" w:rsidRPr="003A6A80">
        <w:rPr>
          <w:rFonts w:ascii="Arial" w:hAnsi="Arial" w:cs="Arial"/>
          <w:sz w:val="16"/>
          <w:szCs w:val="16"/>
        </w:rPr>
        <w:t>epi's</w:t>
      </w:r>
      <w:proofErr w:type="spellEnd"/>
      <w:r w:rsidR="003A6A80" w:rsidRPr="003A6A80">
        <w:rPr>
          <w:rFonts w:ascii="Arial" w:hAnsi="Arial" w:cs="Arial"/>
          <w:sz w:val="16"/>
          <w:szCs w:val="16"/>
        </w:rPr>
        <w:t xml:space="preserve">), para atender as necessidades da coordenadoria dos núcleos administrativos - </w:t>
      </w:r>
      <w:proofErr w:type="spellStart"/>
      <w:r w:rsidR="003A6A80" w:rsidRPr="003A6A80">
        <w:rPr>
          <w:rFonts w:ascii="Arial" w:hAnsi="Arial" w:cs="Arial"/>
          <w:sz w:val="16"/>
          <w:szCs w:val="16"/>
        </w:rPr>
        <w:t>conad</w:t>
      </w:r>
      <w:proofErr w:type="spellEnd"/>
      <w:r w:rsidR="003A6A80" w:rsidRPr="003A6A80">
        <w:rPr>
          <w:rFonts w:ascii="Arial" w:hAnsi="Arial" w:cs="Arial"/>
          <w:sz w:val="16"/>
          <w:szCs w:val="16"/>
        </w:rPr>
        <w:t xml:space="preserve"> e administração do palácio rio madeira - ADPRM, a pedido da superintendência de gestão dos gastos públicos administrativos – SUGESP,</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A213DA" w:rsidRPr="00A213DA">
        <w:rPr>
          <w:rFonts w:ascii="Arial" w:hAnsi="Arial" w:cs="Arial"/>
          <w:sz w:val="16"/>
          <w:szCs w:val="16"/>
        </w:rPr>
        <w:t xml:space="preserve">para futura e eventual </w:t>
      </w:r>
      <w:r w:rsidR="003A6A80" w:rsidRPr="003A6A80">
        <w:rPr>
          <w:rFonts w:ascii="Arial" w:hAnsi="Arial" w:cs="Arial"/>
          <w:sz w:val="16"/>
          <w:szCs w:val="16"/>
        </w:rPr>
        <w:t xml:space="preserve">aquisição de material de consumo sendo, (equipamentos de proteção individual </w:t>
      </w:r>
      <w:proofErr w:type="spellStart"/>
      <w:r w:rsidR="003A6A80" w:rsidRPr="003A6A80">
        <w:rPr>
          <w:rFonts w:ascii="Arial" w:hAnsi="Arial" w:cs="Arial"/>
          <w:sz w:val="16"/>
          <w:szCs w:val="16"/>
        </w:rPr>
        <w:t>epi's</w:t>
      </w:r>
      <w:proofErr w:type="spellEnd"/>
      <w:r w:rsidR="003A6A80" w:rsidRPr="003A6A80">
        <w:rPr>
          <w:rFonts w:ascii="Arial" w:hAnsi="Arial" w:cs="Arial"/>
          <w:sz w:val="16"/>
          <w:szCs w:val="16"/>
        </w:rPr>
        <w:t xml:space="preserve">), para atender as necessidades da coordenadoria dos núcleos administrativos - </w:t>
      </w:r>
      <w:proofErr w:type="spellStart"/>
      <w:r w:rsidR="003A6A80" w:rsidRPr="003A6A80">
        <w:rPr>
          <w:rFonts w:ascii="Arial" w:hAnsi="Arial" w:cs="Arial"/>
          <w:sz w:val="16"/>
          <w:szCs w:val="16"/>
        </w:rPr>
        <w:t>conad</w:t>
      </w:r>
      <w:proofErr w:type="spellEnd"/>
      <w:r w:rsidR="003A6A80" w:rsidRPr="003A6A80">
        <w:rPr>
          <w:rFonts w:ascii="Arial" w:hAnsi="Arial" w:cs="Arial"/>
          <w:sz w:val="16"/>
          <w:szCs w:val="16"/>
        </w:rPr>
        <w:t xml:space="preserve"> e administração do palácio rio madeira - ADPRM, a pedido da superintendência de gestão dos gastos públicos administrativos – SUGESP</w:t>
      </w:r>
      <w:r w:rsidR="00A213DA" w:rsidRPr="00A213DA">
        <w:rPr>
          <w:rFonts w:ascii="Arial" w:hAnsi="Arial" w:cs="Arial"/>
          <w:sz w:val="16"/>
          <w:szCs w:val="16"/>
        </w:rPr>
        <w:t>/RO</w:t>
      </w:r>
      <w:r w:rsidR="00A213DA" w:rsidRPr="00A213DA">
        <w:rPr>
          <w:rFonts w:ascii="Arial" w:hAnsi="Arial" w:cs="Arial"/>
          <w:b/>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w:t>
      </w:r>
      <w:proofErr w:type="gramStart"/>
      <w:r w:rsidRPr="00063355">
        <w:rPr>
          <w:rFonts w:ascii="Arial" w:hAnsi="Arial" w:cs="Arial"/>
          <w:sz w:val="16"/>
          <w:szCs w:val="16"/>
        </w:rPr>
        <w:t>a</w:t>
      </w:r>
      <w:proofErr w:type="gramEnd"/>
      <w:r w:rsidRPr="00063355">
        <w:rPr>
          <w:rFonts w:ascii="Arial" w:hAnsi="Arial" w:cs="Arial"/>
          <w:sz w:val="16"/>
          <w:szCs w:val="16"/>
        </w:rPr>
        <w:t xml:space="preserve"> observância das normas contidas no art. 40, inciso XVI, c/c o art. 73 inciso II, “a” e “b”, da Lei 8.666/93 e alterações.</w:t>
      </w:r>
    </w:p>
    <w:p w:rsidR="00EC29F9" w:rsidRDefault="00EC29F9" w:rsidP="00EC29F9">
      <w:pPr>
        <w:jc w:val="both"/>
        <w:rPr>
          <w:rFonts w:ascii="Calibri" w:hAnsi="Calibri"/>
          <w:color w:val="000000"/>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Pr="005B6399">
        <w:rPr>
          <w:rFonts w:ascii="Arial" w:hAnsi="Arial" w:cs="Arial"/>
          <w:sz w:val="16"/>
          <w:szCs w:val="16"/>
        </w:rPr>
        <w:t xml:space="preserve">: </w:t>
      </w:r>
      <w:r w:rsidR="00CF7660" w:rsidRPr="00CF7660">
        <w:rPr>
          <w:rFonts w:ascii="Arial" w:hAnsi="Arial" w:cs="Arial"/>
          <w:sz w:val="16"/>
          <w:szCs w:val="16"/>
        </w:rPr>
        <w:t>O prazo de entrega dos equipamentos deverá ser de até 15 (quinze) dias, a contar da data da Assinatura/Retirada do Instrumento Contratual, em conformidade com o quantitativo indicado na Ordem de Fornecimento emitida pela Coordenadoria de Núcleos Administrativos – CONAD e Administração do Palácio Rio Madeira – ADPRM</w:t>
      </w:r>
      <w:r w:rsidR="00CF7660">
        <w:rPr>
          <w:rFonts w:ascii="Arial" w:hAnsi="Arial" w:cs="Arial"/>
          <w:sz w:val="16"/>
          <w:szCs w:val="16"/>
        </w:rPr>
        <w:t>.</w:t>
      </w:r>
    </w:p>
    <w:p w:rsidR="00EC29F9" w:rsidRPr="00063355" w:rsidRDefault="00EC29F9" w:rsidP="00EC29F9">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Pr>
          <w:rFonts w:ascii="Arial" w:hAnsi="Arial" w:cs="Arial"/>
          <w:b/>
          <w:sz w:val="16"/>
          <w:szCs w:val="16"/>
        </w:rPr>
        <w:t xml:space="preserve">: </w:t>
      </w:r>
      <w:r w:rsidR="00CF7660" w:rsidRPr="00CF7660">
        <w:rPr>
          <w:rFonts w:ascii="Arial" w:hAnsi="Arial" w:cs="Arial"/>
          <w:sz w:val="16"/>
          <w:szCs w:val="16"/>
        </w:rPr>
        <w:t>Os equipamentos poderão ser entregue de segunda a sexta – feira, das 07hs30min às 13hs30min, no Almoxarifado Central do Governo do Estado de Rondônia/RO - Gerência de Patrimônio Mobiliário - GPM/SEPAT - localizado à Rua Antônio Lacerda, n° 4138, Bairro Setor Industrial, na cidade de Porto Velho – RO</w:t>
      </w:r>
      <w:r w:rsidRPr="00EC29F9">
        <w:rPr>
          <w:rFonts w:ascii="Arial" w:hAnsi="Arial" w:cs="Arial"/>
          <w:sz w:val="16"/>
          <w:szCs w:val="16"/>
        </w:rPr>
        <w:t>.</w:t>
      </w:r>
    </w:p>
    <w:p w:rsidR="00416202" w:rsidRPr="00CF7660" w:rsidRDefault="00416202" w:rsidP="008D22ED">
      <w:pPr>
        <w:pStyle w:val="newtextojustificado"/>
        <w:spacing w:before="0" w:beforeAutospacing="0" w:after="0" w:afterAutospacing="0"/>
        <w:jc w:val="both"/>
        <w:rPr>
          <w:rFonts w:ascii="Arial" w:hAnsi="Arial" w:cs="Arial"/>
          <w:sz w:val="16"/>
          <w:szCs w:val="16"/>
          <w:lang w:val="pt-BR" w:eastAsia="pt-BR"/>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DF79A2" w:rsidRPr="003C22D0" w:rsidRDefault="009748A5" w:rsidP="00DF79A2">
      <w:pPr>
        <w:spacing w:before="8"/>
        <w:ind w:left="140"/>
        <w:rPr>
          <w:b/>
          <w:i/>
          <w:sz w:val="22"/>
          <w:szCs w:val="22"/>
        </w:rPr>
      </w:pPr>
      <w:r>
        <w:rPr>
          <w:rFonts w:ascii="Arial" w:hAnsi="Arial" w:cs="Arial"/>
          <w:b/>
          <w:bCs/>
          <w:i/>
          <w:iCs/>
          <w:color w:val="000000"/>
          <w:sz w:val="16"/>
          <w:szCs w:val="16"/>
        </w:rPr>
        <w:t xml:space="preserve"> </w:t>
      </w:r>
      <w:r w:rsidR="00DF79A2" w:rsidRPr="003C22D0">
        <w:rPr>
          <w:b/>
          <w:i/>
          <w:w w:val="105"/>
          <w:sz w:val="22"/>
          <w:szCs w:val="22"/>
        </w:rPr>
        <w:t>(</w:t>
      </w:r>
      <w:r w:rsidR="00DF79A2" w:rsidRPr="00DF79A2">
        <w:rPr>
          <w:rFonts w:ascii="Arial" w:hAnsi="Arial" w:cs="Arial"/>
          <w:b/>
          <w:bCs/>
          <w:i/>
          <w:iCs/>
          <w:color w:val="000000"/>
          <w:sz w:val="16"/>
          <w:szCs w:val="16"/>
        </w:rPr>
        <w:t>Base Legal: art. 40, inciso III da Lei 8.666/93; art. 9º, V c/c § 2º do Decreto 5450/05; art. 3º, I, Lei 10520/02; art. 2º, II, “e” e 19, XI da IN 02/2008/MPOG).</w:t>
      </w:r>
    </w:p>
    <w:p w:rsidR="009748A5" w:rsidRPr="00511FF6" w:rsidRDefault="009748A5" w:rsidP="009748A5">
      <w:pPr>
        <w:ind w:right="60"/>
        <w:jc w:val="both"/>
        <w:rPr>
          <w:rFonts w:ascii="Arial" w:hAnsi="Arial" w:cs="Arial"/>
          <w:color w:val="000000"/>
        </w:rPr>
      </w:pPr>
    </w:p>
    <w:p w:rsidR="00426F5F" w:rsidRPr="00A213DA" w:rsidRDefault="00426F5F" w:rsidP="00A213DA">
      <w:pPr>
        <w:ind w:left="60" w:right="60"/>
        <w:jc w:val="both"/>
        <w:rPr>
          <w:rFonts w:ascii="Arial" w:hAnsi="Arial" w:cs="Arial"/>
          <w:color w:val="000000"/>
          <w:sz w:val="16"/>
          <w:szCs w:val="16"/>
        </w:rPr>
      </w:pPr>
    </w:p>
    <w:p w:rsidR="00DF79A2" w:rsidRPr="00B13BFB" w:rsidRDefault="00DF79A2" w:rsidP="00B13BFB">
      <w:pPr>
        <w:widowControl w:val="0"/>
        <w:tabs>
          <w:tab w:val="left" w:pos="397"/>
        </w:tabs>
        <w:autoSpaceDE w:val="0"/>
        <w:autoSpaceDN w:val="0"/>
        <w:ind w:right="610"/>
        <w:rPr>
          <w:rFonts w:ascii="Arial" w:hAnsi="Arial" w:cs="Arial"/>
          <w:sz w:val="16"/>
          <w:szCs w:val="16"/>
        </w:rPr>
      </w:pPr>
      <w:proofErr w:type="gramStart"/>
      <w:r w:rsidRPr="00DF79A2">
        <w:rPr>
          <w:rFonts w:ascii="Arial" w:hAnsi="Arial" w:cs="Arial"/>
          <w:b/>
          <w:bCs/>
          <w:color w:val="000000"/>
          <w:sz w:val="16"/>
          <w:szCs w:val="16"/>
        </w:rPr>
        <w:t>9.1</w:t>
      </w:r>
      <w:r w:rsidRPr="00DF79A2">
        <w:rPr>
          <w:rFonts w:ascii="Arial" w:hAnsi="Arial" w:cs="Arial"/>
          <w:color w:val="000000"/>
          <w:sz w:val="16"/>
          <w:szCs w:val="16"/>
        </w:rPr>
        <w:t> </w:t>
      </w:r>
      <w:r w:rsidRPr="00B13BFB">
        <w:rPr>
          <w:rFonts w:ascii="Arial" w:hAnsi="Arial" w:cs="Arial"/>
          <w:sz w:val="16"/>
          <w:szCs w:val="16"/>
        </w:rPr>
        <w:t>Sem prejuízo das sanções cominadas no art. 87, I, III e IV, da Lei nº</w:t>
      </w:r>
      <w:proofErr w:type="gramEnd"/>
      <w:r w:rsidRPr="00B13BFB">
        <w:rPr>
          <w:rFonts w:ascii="Arial" w:hAnsi="Arial" w:cs="Arial"/>
          <w:sz w:val="16"/>
          <w:szCs w:val="16"/>
        </w:rPr>
        <w:t xml:space="preserve"> 8.666/93, pela inexecução total ou parcial do contrato, a Administração poderá, garantida a prévia e ampla defesa, aplicar à Contratada multa de até 10% (dez por cento) sobre o valor da parcela inadimplida;</w:t>
      </w:r>
    </w:p>
    <w:p w:rsidR="00DF79A2" w:rsidRPr="00B13BFB" w:rsidRDefault="00DF79A2" w:rsidP="00B13BFB">
      <w:pPr>
        <w:pStyle w:val="Corpodetexto"/>
        <w:rPr>
          <w:rFonts w:ascii="Arial" w:hAnsi="Arial" w:cs="Arial"/>
          <w:sz w:val="16"/>
          <w:szCs w:val="16"/>
        </w:rPr>
      </w:pPr>
    </w:p>
    <w:p w:rsidR="00DF79A2" w:rsidRPr="00B13BFB" w:rsidRDefault="00DF79A2" w:rsidP="00B13BFB">
      <w:pPr>
        <w:widowControl w:val="0"/>
        <w:tabs>
          <w:tab w:val="left" w:pos="397"/>
        </w:tabs>
        <w:autoSpaceDE w:val="0"/>
        <w:autoSpaceDN w:val="0"/>
        <w:ind w:right="369"/>
        <w:rPr>
          <w:rFonts w:ascii="Arial" w:hAnsi="Arial" w:cs="Arial"/>
          <w:sz w:val="16"/>
          <w:szCs w:val="16"/>
        </w:rPr>
      </w:pPr>
      <w:r w:rsidRPr="00B13BFB">
        <w:rPr>
          <w:rFonts w:ascii="Arial" w:hAnsi="Arial" w:cs="Arial"/>
          <w:b/>
          <w:sz w:val="16"/>
          <w:szCs w:val="16"/>
        </w:rPr>
        <w:t>9.2</w:t>
      </w:r>
      <w:r w:rsidRPr="00B13BFB">
        <w:rPr>
          <w:rFonts w:ascii="Arial" w:hAnsi="Arial" w:cs="Arial"/>
          <w:sz w:val="16"/>
          <w:szCs w:val="16"/>
        </w:rPr>
        <w:t xml:space="preserve">. Se a adjudicatária recusar-se a retirar o instrumento contratual </w:t>
      </w:r>
      <w:proofErr w:type="spellStart"/>
      <w:r w:rsidRPr="00B13BFB">
        <w:rPr>
          <w:rFonts w:ascii="Arial" w:hAnsi="Arial" w:cs="Arial"/>
          <w:sz w:val="16"/>
          <w:szCs w:val="16"/>
        </w:rPr>
        <w:t>injustiﬁcadamente</w:t>
      </w:r>
      <w:proofErr w:type="spellEnd"/>
      <w:r w:rsidRPr="00B13BFB">
        <w:rPr>
          <w:rFonts w:ascii="Arial" w:hAnsi="Arial" w:cs="Arial"/>
          <w:sz w:val="16"/>
          <w:szCs w:val="16"/>
        </w:rPr>
        <w:t xml:space="preserve"> ou se não apresentar situação regular na ocasião dos recebimentos, garantida a prévia e ampla defesa, aplicar à Contratada multa de até 10% (dez por cento) sobre o valor adjudicado;</w:t>
      </w:r>
    </w:p>
    <w:p w:rsidR="00DF79A2" w:rsidRPr="00B13BFB" w:rsidRDefault="00DF79A2" w:rsidP="00B13BFB">
      <w:pPr>
        <w:pStyle w:val="Corpodetexto"/>
        <w:rPr>
          <w:rFonts w:ascii="Arial" w:hAnsi="Arial" w:cs="Arial"/>
          <w:sz w:val="16"/>
          <w:szCs w:val="16"/>
        </w:rPr>
      </w:pPr>
    </w:p>
    <w:p w:rsidR="00DF79A2" w:rsidRPr="00B13BFB" w:rsidRDefault="00DF79A2" w:rsidP="00B13BFB">
      <w:pPr>
        <w:widowControl w:val="0"/>
        <w:tabs>
          <w:tab w:val="left" w:pos="397"/>
        </w:tabs>
        <w:autoSpaceDE w:val="0"/>
        <w:autoSpaceDN w:val="0"/>
        <w:ind w:right="348"/>
        <w:rPr>
          <w:rFonts w:ascii="Arial" w:hAnsi="Arial" w:cs="Arial"/>
          <w:sz w:val="16"/>
          <w:szCs w:val="16"/>
        </w:rPr>
      </w:pPr>
      <w:r w:rsidRPr="00B13BFB">
        <w:rPr>
          <w:rFonts w:ascii="Arial" w:hAnsi="Arial" w:cs="Arial"/>
          <w:b/>
          <w:sz w:val="16"/>
          <w:szCs w:val="16"/>
        </w:rPr>
        <w:t>9.3.</w:t>
      </w:r>
      <w:r w:rsidRPr="00B13BFB">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w:t>
      </w:r>
      <w:proofErr w:type="spellStart"/>
      <w:r w:rsidRPr="00B13BFB">
        <w:rPr>
          <w:rFonts w:ascii="Arial" w:hAnsi="Arial" w:cs="Arial"/>
          <w:sz w:val="16"/>
          <w:szCs w:val="16"/>
        </w:rPr>
        <w:t>ﬁscal</w:t>
      </w:r>
      <w:proofErr w:type="spellEnd"/>
      <w:r w:rsidRPr="00B13BFB">
        <w:rPr>
          <w:rFonts w:ascii="Arial" w:hAnsi="Arial" w:cs="Arial"/>
          <w:sz w:val="16"/>
          <w:szCs w:val="16"/>
        </w:rPr>
        <w:t xml:space="preserve">, garantida a prévia e ampla defesa, </w:t>
      </w:r>
      <w:proofErr w:type="spellStart"/>
      <w:r w:rsidRPr="00B13BFB">
        <w:rPr>
          <w:rFonts w:ascii="Arial" w:hAnsi="Arial" w:cs="Arial"/>
          <w:sz w:val="16"/>
          <w:szCs w:val="16"/>
        </w:rPr>
        <w:t>ﬁcará</w:t>
      </w:r>
      <w:proofErr w:type="spellEnd"/>
      <w:r w:rsidRPr="00B13BFB">
        <w:rPr>
          <w:rFonts w:ascii="Arial" w:hAnsi="Arial" w:cs="Arial"/>
          <w:sz w:val="16"/>
          <w:szCs w:val="16"/>
        </w:rPr>
        <w:t xml:space="preserve"> impedida de licitar e contratar com o Estado de Rondônia, e será </w:t>
      </w:r>
      <w:proofErr w:type="gramStart"/>
      <w:r w:rsidRPr="00B13BFB">
        <w:rPr>
          <w:rFonts w:ascii="Arial" w:hAnsi="Arial" w:cs="Arial"/>
          <w:sz w:val="16"/>
          <w:szCs w:val="16"/>
        </w:rPr>
        <w:t>descredenciado no Cadastro de Fornecedores Estadual</w:t>
      </w:r>
      <w:proofErr w:type="gramEnd"/>
      <w:r w:rsidRPr="00B13BFB">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DF79A2" w:rsidRPr="00B13BFB" w:rsidRDefault="00DF79A2" w:rsidP="00B13BFB">
      <w:pPr>
        <w:pStyle w:val="Corpodetexto"/>
        <w:rPr>
          <w:rFonts w:ascii="Arial" w:hAnsi="Arial" w:cs="Arial"/>
          <w:sz w:val="16"/>
          <w:szCs w:val="16"/>
        </w:rPr>
      </w:pPr>
    </w:p>
    <w:p w:rsidR="00DF79A2" w:rsidRPr="00B13BFB" w:rsidRDefault="00DF79A2" w:rsidP="00B13BFB">
      <w:pPr>
        <w:jc w:val="both"/>
        <w:rPr>
          <w:rFonts w:ascii="Arial" w:hAnsi="Arial" w:cs="Arial"/>
          <w:sz w:val="16"/>
          <w:szCs w:val="16"/>
        </w:rPr>
      </w:pPr>
      <w:r w:rsidRPr="00B13BFB">
        <w:rPr>
          <w:rFonts w:ascii="Arial" w:hAnsi="Arial" w:cs="Arial"/>
          <w:b/>
          <w:sz w:val="16"/>
          <w:szCs w:val="16"/>
        </w:rPr>
        <w:t>9.4</w:t>
      </w:r>
      <w:r w:rsidRPr="00B13BFB">
        <w:rPr>
          <w:rFonts w:ascii="Arial" w:hAnsi="Arial" w:cs="Arial"/>
          <w:sz w:val="16"/>
          <w:szCs w:val="16"/>
        </w:rPr>
        <w:t xml:space="preserve">. A multa, eventualmente imposta à Contratada, será automaticamente descontada da fatura a que </w:t>
      </w:r>
      <w:proofErr w:type="spellStart"/>
      <w:r w:rsidRPr="00B13BFB">
        <w:rPr>
          <w:rFonts w:ascii="Arial" w:hAnsi="Arial" w:cs="Arial"/>
          <w:sz w:val="16"/>
          <w:szCs w:val="16"/>
        </w:rPr>
        <w:t>ﬁ</w:t>
      </w:r>
      <w:proofErr w:type="gramStart"/>
      <w:r w:rsidRPr="00B13BFB">
        <w:rPr>
          <w:rFonts w:ascii="Arial" w:hAnsi="Arial" w:cs="Arial"/>
          <w:sz w:val="16"/>
          <w:szCs w:val="16"/>
        </w:rPr>
        <w:t>zer</w:t>
      </w:r>
      <w:proofErr w:type="spellEnd"/>
      <w:r w:rsidRPr="00B13BFB">
        <w:rPr>
          <w:rFonts w:ascii="Arial" w:hAnsi="Arial" w:cs="Arial"/>
          <w:sz w:val="16"/>
          <w:szCs w:val="16"/>
        </w:rPr>
        <w:t xml:space="preserve"> jus, acrescida de juros moratórios de 1% (um por cento) ao mês</w:t>
      </w:r>
      <w:proofErr w:type="gramEnd"/>
      <w:r w:rsidRPr="00B13BFB">
        <w:rPr>
          <w:rFonts w:ascii="Arial" w:hAnsi="Arial" w:cs="Arial"/>
          <w:sz w:val="16"/>
          <w:szCs w:val="16"/>
        </w:rPr>
        <w:t>.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DF79A2" w:rsidRDefault="00DF79A2" w:rsidP="00B13BFB">
      <w:pPr>
        <w:jc w:val="both"/>
        <w:rPr>
          <w:rFonts w:ascii="Arial" w:hAnsi="Arial" w:cs="Arial"/>
          <w:sz w:val="16"/>
          <w:szCs w:val="16"/>
        </w:rPr>
      </w:pPr>
    </w:p>
    <w:p w:rsidR="00DF79A2" w:rsidRPr="00B13BFB" w:rsidRDefault="00DF79A2" w:rsidP="00B13BFB">
      <w:pPr>
        <w:widowControl w:val="0"/>
        <w:tabs>
          <w:tab w:val="left" w:pos="397"/>
        </w:tabs>
        <w:autoSpaceDE w:val="0"/>
        <w:autoSpaceDN w:val="0"/>
        <w:ind w:right="689"/>
        <w:rPr>
          <w:rFonts w:ascii="Arial" w:hAnsi="Arial" w:cs="Arial"/>
          <w:sz w:val="16"/>
          <w:szCs w:val="16"/>
        </w:rPr>
      </w:pPr>
      <w:r w:rsidRPr="00B13BFB">
        <w:rPr>
          <w:rFonts w:ascii="Arial" w:hAnsi="Arial" w:cs="Arial"/>
          <w:b/>
          <w:sz w:val="16"/>
          <w:szCs w:val="16"/>
        </w:rPr>
        <w:t>9.5</w:t>
      </w:r>
      <w:r w:rsidRPr="00B13BFB">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DF79A2" w:rsidRPr="00B13BFB" w:rsidRDefault="00DF79A2" w:rsidP="00B13BFB">
      <w:pPr>
        <w:pStyle w:val="Corpodetexto"/>
        <w:rPr>
          <w:rFonts w:ascii="Arial" w:hAnsi="Arial" w:cs="Arial"/>
          <w:sz w:val="16"/>
          <w:szCs w:val="16"/>
        </w:rPr>
      </w:pPr>
    </w:p>
    <w:p w:rsidR="00DF79A2" w:rsidRPr="00B13BFB" w:rsidRDefault="00DF79A2" w:rsidP="00B13BFB">
      <w:pPr>
        <w:widowControl w:val="0"/>
        <w:tabs>
          <w:tab w:val="left" w:pos="397"/>
        </w:tabs>
        <w:autoSpaceDE w:val="0"/>
        <w:autoSpaceDN w:val="0"/>
        <w:ind w:right="574"/>
        <w:rPr>
          <w:rFonts w:ascii="Arial" w:hAnsi="Arial" w:cs="Arial"/>
          <w:sz w:val="16"/>
          <w:szCs w:val="16"/>
        </w:rPr>
      </w:pPr>
      <w:r w:rsidRPr="00B13BFB">
        <w:rPr>
          <w:rFonts w:ascii="Arial" w:hAnsi="Arial" w:cs="Arial"/>
          <w:b/>
          <w:sz w:val="16"/>
          <w:szCs w:val="16"/>
        </w:rPr>
        <w:t>9.6.</w:t>
      </w:r>
      <w:r w:rsidRPr="00B13BFB">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F79A2" w:rsidRPr="00B13BFB" w:rsidRDefault="00DF79A2" w:rsidP="00B13BFB">
      <w:pPr>
        <w:pStyle w:val="Corpodetexto"/>
        <w:rPr>
          <w:rFonts w:ascii="Arial" w:hAnsi="Arial" w:cs="Arial"/>
          <w:sz w:val="16"/>
          <w:szCs w:val="16"/>
        </w:rPr>
      </w:pPr>
    </w:p>
    <w:p w:rsidR="00DF79A2" w:rsidRPr="00B13BFB" w:rsidRDefault="00DF79A2" w:rsidP="00B13BFB">
      <w:pPr>
        <w:widowControl w:val="0"/>
        <w:tabs>
          <w:tab w:val="left" w:pos="397"/>
        </w:tabs>
        <w:autoSpaceDE w:val="0"/>
        <w:autoSpaceDN w:val="0"/>
        <w:ind w:right="367"/>
        <w:rPr>
          <w:rFonts w:ascii="Arial" w:hAnsi="Arial" w:cs="Arial"/>
          <w:sz w:val="16"/>
          <w:szCs w:val="16"/>
        </w:rPr>
      </w:pPr>
      <w:r w:rsidRPr="00B13BFB">
        <w:rPr>
          <w:rFonts w:ascii="Arial" w:hAnsi="Arial" w:cs="Arial"/>
          <w:b/>
          <w:sz w:val="16"/>
          <w:szCs w:val="16"/>
        </w:rPr>
        <w:t>9.7.</w:t>
      </w:r>
      <w:r w:rsidRPr="00B13BFB">
        <w:rPr>
          <w:rFonts w:ascii="Arial" w:hAnsi="Arial" w:cs="Arial"/>
          <w:sz w:val="16"/>
          <w:szCs w:val="16"/>
        </w:rPr>
        <w:t xml:space="preserve"> A sanção denominada “Advertência” só terá lugar se emitida por escrito e quando se tratar de faltas leves, assim entendidas como aquelas que não acarretarem prejuízos </w:t>
      </w:r>
      <w:proofErr w:type="spellStart"/>
      <w:r w:rsidRPr="00B13BFB">
        <w:rPr>
          <w:rFonts w:ascii="Arial" w:hAnsi="Arial" w:cs="Arial"/>
          <w:sz w:val="16"/>
          <w:szCs w:val="16"/>
        </w:rPr>
        <w:t>signiﬁcativos</w:t>
      </w:r>
      <w:proofErr w:type="spellEnd"/>
      <w:r w:rsidRPr="00B13BFB">
        <w:rPr>
          <w:rFonts w:ascii="Arial" w:hAnsi="Arial" w:cs="Arial"/>
          <w:sz w:val="16"/>
          <w:szCs w:val="16"/>
        </w:rPr>
        <w:t xml:space="preserve"> ao objeto da contratação, cabível somente até a segunda aplicação (reincidência) para a mesma infração, caso não se </w:t>
      </w:r>
      <w:proofErr w:type="spellStart"/>
      <w:r w:rsidRPr="00B13BFB">
        <w:rPr>
          <w:rFonts w:ascii="Arial" w:hAnsi="Arial" w:cs="Arial"/>
          <w:sz w:val="16"/>
          <w:szCs w:val="16"/>
        </w:rPr>
        <w:t>veriﬁque</w:t>
      </w:r>
      <w:proofErr w:type="spellEnd"/>
      <w:r w:rsidRPr="00B13BFB">
        <w:rPr>
          <w:rFonts w:ascii="Arial" w:hAnsi="Arial" w:cs="Arial"/>
          <w:sz w:val="16"/>
          <w:szCs w:val="16"/>
        </w:rPr>
        <w:t xml:space="preserve"> a adequação da conduta por parte da Contratada, após o que deverão ser aplicadas sanções de grau mais </w:t>
      </w:r>
      <w:proofErr w:type="spellStart"/>
      <w:r w:rsidRPr="00B13BFB">
        <w:rPr>
          <w:rFonts w:ascii="Arial" w:hAnsi="Arial" w:cs="Arial"/>
          <w:sz w:val="16"/>
          <w:szCs w:val="16"/>
        </w:rPr>
        <w:t>signiﬁcativo</w:t>
      </w:r>
      <w:proofErr w:type="spellEnd"/>
      <w:r w:rsidRPr="00B13BFB">
        <w:rPr>
          <w:rFonts w:ascii="Arial" w:hAnsi="Arial" w:cs="Arial"/>
          <w:sz w:val="16"/>
          <w:szCs w:val="16"/>
        </w:rPr>
        <w:t>;</w:t>
      </w:r>
    </w:p>
    <w:p w:rsidR="00DF79A2" w:rsidRPr="00B13BFB" w:rsidRDefault="00DF79A2" w:rsidP="00B13BFB">
      <w:pPr>
        <w:pStyle w:val="Corpodetexto"/>
        <w:rPr>
          <w:rFonts w:ascii="Arial" w:hAnsi="Arial" w:cs="Arial"/>
          <w:sz w:val="16"/>
          <w:szCs w:val="16"/>
        </w:rPr>
      </w:pPr>
    </w:p>
    <w:p w:rsidR="00DF79A2" w:rsidRPr="00B13BFB" w:rsidRDefault="00DF79A2" w:rsidP="00B13BFB">
      <w:pPr>
        <w:widowControl w:val="0"/>
        <w:tabs>
          <w:tab w:val="left" w:pos="397"/>
        </w:tabs>
        <w:autoSpaceDE w:val="0"/>
        <w:autoSpaceDN w:val="0"/>
        <w:ind w:right="332"/>
        <w:rPr>
          <w:rFonts w:ascii="Arial" w:hAnsi="Arial" w:cs="Arial"/>
          <w:sz w:val="16"/>
          <w:szCs w:val="16"/>
        </w:rPr>
      </w:pPr>
      <w:r w:rsidRPr="00B13BFB">
        <w:rPr>
          <w:rFonts w:ascii="Arial" w:hAnsi="Arial" w:cs="Arial"/>
          <w:b/>
          <w:sz w:val="16"/>
          <w:szCs w:val="16"/>
        </w:rPr>
        <w:t>9.8.</w:t>
      </w:r>
      <w:r w:rsidRPr="00B13BFB">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DF79A2" w:rsidRPr="00B13BFB" w:rsidRDefault="00DF79A2" w:rsidP="00B13BFB">
      <w:pPr>
        <w:widowControl w:val="0"/>
        <w:tabs>
          <w:tab w:val="left" w:pos="289"/>
        </w:tabs>
        <w:autoSpaceDE w:val="0"/>
        <w:autoSpaceDN w:val="0"/>
        <w:rPr>
          <w:rFonts w:ascii="Arial" w:hAnsi="Arial" w:cs="Arial"/>
          <w:sz w:val="16"/>
          <w:szCs w:val="16"/>
        </w:rPr>
      </w:pPr>
    </w:p>
    <w:p w:rsidR="00DF79A2" w:rsidRPr="00B13BFB" w:rsidRDefault="00DF79A2" w:rsidP="00B13BFB">
      <w:pPr>
        <w:widowControl w:val="0"/>
        <w:tabs>
          <w:tab w:val="left" w:pos="289"/>
        </w:tabs>
        <w:autoSpaceDE w:val="0"/>
        <w:autoSpaceDN w:val="0"/>
        <w:rPr>
          <w:rFonts w:ascii="Arial" w:hAnsi="Arial" w:cs="Arial"/>
          <w:sz w:val="16"/>
          <w:szCs w:val="16"/>
        </w:rPr>
      </w:pPr>
      <w:r w:rsidRPr="00B13BFB">
        <w:rPr>
          <w:rFonts w:ascii="Arial" w:hAnsi="Arial" w:cs="Arial"/>
          <w:sz w:val="16"/>
          <w:szCs w:val="16"/>
        </w:rPr>
        <w:t>a) Inexecução total ou parcial do contrato;</w:t>
      </w:r>
    </w:p>
    <w:p w:rsidR="00DF79A2" w:rsidRPr="00B13BFB" w:rsidRDefault="00DF79A2" w:rsidP="00B13BFB">
      <w:pPr>
        <w:widowControl w:val="0"/>
        <w:tabs>
          <w:tab w:val="left" w:pos="295"/>
        </w:tabs>
        <w:autoSpaceDE w:val="0"/>
        <w:autoSpaceDN w:val="0"/>
        <w:rPr>
          <w:rFonts w:ascii="Arial" w:hAnsi="Arial" w:cs="Arial"/>
          <w:sz w:val="16"/>
          <w:szCs w:val="16"/>
        </w:rPr>
      </w:pPr>
      <w:r w:rsidRPr="00B13BFB">
        <w:rPr>
          <w:rFonts w:ascii="Arial" w:hAnsi="Arial" w:cs="Arial"/>
          <w:sz w:val="16"/>
          <w:szCs w:val="16"/>
        </w:rPr>
        <w:t>b) Apresentação de documentação falsa;</w:t>
      </w:r>
    </w:p>
    <w:p w:rsidR="00DF79A2" w:rsidRPr="00B13BFB" w:rsidRDefault="00DF79A2" w:rsidP="00B13BFB">
      <w:pPr>
        <w:widowControl w:val="0"/>
        <w:tabs>
          <w:tab w:val="left" w:pos="280"/>
        </w:tabs>
        <w:autoSpaceDE w:val="0"/>
        <w:autoSpaceDN w:val="0"/>
        <w:rPr>
          <w:rFonts w:ascii="Arial" w:hAnsi="Arial" w:cs="Arial"/>
          <w:sz w:val="16"/>
          <w:szCs w:val="16"/>
        </w:rPr>
      </w:pPr>
      <w:r w:rsidRPr="00B13BFB">
        <w:rPr>
          <w:rFonts w:ascii="Arial" w:hAnsi="Arial" w:cs="Arial"/>
          <w:sz w:val="16"/>
          <w:szCs w:val="16"/>
        </w:rPr>
        <w:t>c) Comportamento inidôneo;</w:t>
      </w:r>
    </w:p>
    <w:p w:rsidR="00DF79A2" w:rsidRPr="00B13BFB" w:rsidRDefault="00DF79A2" w:rsidP="00B13BFB">
      <w:pPr>
        <w:widowControl w:val="0"/>
        <w:tabs>
          <w:tab w:val="left" w:pos="295"/>
        </w:tabs>
        <w:autoSpaceDE w:val="0"/>
        <w:autoSpaceDN w:val="0"/>
        <w:rPr>
          <w:rFonts w:ascii="Arial" w:hAnsi="Arial" w:cs="Arial"/>
          <w:sz w:val="16"/>
          <w:szCs w:val="16"/>
        </w:rPr>
      </w:pPr>
      <w:r w:rsidRPr="00B13BFB">
        <w:rPr>
          <w:rFonts w:ascii="Arial" w:hAnsi="Arial" w:cs="Arial"/>
          <w:sz w:val="16"/>
          <w:szCs w:val="16"/>
        </w:rPr>
        <w:t xml:space="preserve">d) Fraude </w:t>
      </w:r>
      <w:proofErr w:type="spellStart"/>
      <w:r w:rsidRPr="00B13BFB">
        <w:rPr>
          <w:rFonts w:ascii="Arial" w:hAnsi="Arial" w:cs="Arial"/>
          <w:sz w:val="16"/>
          <w:szCs w:val="16"/>
        </w:rPr>
        <w:t>ﬁscal</w:t>
      </w:r>
      <w:proofErr w:type="spellEnd"/>
      <w:r w:rsidRPr="00B13BFB">
        <w:rPr>
          <w:rFonts w:ascii="Arial" w:hAnsi="Arial" w:cs="Arial"/>
          <w:sz w:val="16"/>
          <w:szCs w:val="16"/>
        </w:rPr>
        <w:t>;</w:t>
      </w:r>
    </w:p>
    <w:p w:rsidR="00DF79A2" w:rsidRPr="00B13BFB" w:rsidRDefault="00DF79A2" w:rsidP="00B13BFB">
      <w:pPr>
        <w:widowControl w:val="0"/>
        <w:tabs>
          <w:tab w:val="left" w:pos="291"/>
        </w:tabs>
        <w:autoSpaceDE w:val="0"/>
        <w:autoSpaceDN w:val="0"/>
        <w:rPr>
          <w:rFonts w:ascii="Arial" w:hAnsi="Arial" w:cs="Arial"/>
          <w:sz w:val="16"/>
          <w:szCs w:val="16"/>
        </w:rPr>
      </w:pPr>
      <w:proofErr w:type="gramStart"/>
      <w:r w:rsidRPr="00B13BFB">
        <w:rPr>
          <w:rFonts w:ascii="Arial" w:hAnsi="Arial" w:cs="Arial"/>
          <w:sz w:val="16"/>
          <w:szCs w:val="16"/>
        </w:rPr>
        <w:t>e</w:t>
      </w:r>
      <w:proofErr w:type="gramEnd"/>
      <w:r w:rsidRPr="00B13BFB">
        <w:rPr>
          <w:rFonts w:ascii="Arial" w:hAnsi="Arial" w:cs="Arial"/>
          <w:sz w:val="16"/>
          <w:szCs w:val="16"/>
        </w:rPr>
        <w:t>)Descumprimento de qualquer dos deveres elencados no Edital ou no Contrato.</w:t>
      </w:r>
    </w:p>
    <w:p w:rsidR="00DF79A2" w:rsidRPr="00B13BFB" w:rsidRDefault="00DF79A2" w:rsidP="00B13BFB">
      <w:pPr>
        <w:pStyle w:val="Corpodetexto"/>
        <w:rPr>
          <w:rFonts w:ascii="Arial" w:hAnsi="Arial" w:cs="Arial"/>
          <w:sz w:val="16"/>
          <w:szCs w:val="16"/>
        </w:rPr>
      </w:pPr>
    </w:p>
    <w:p w:rsidR="00DF79A2" w:rsidRPr="00B13BFB" w:rsidRDefault="00DF79A2" w:rsidP="00B13BFB">
      <w:pPr>
        <w:widowControl w:val="0"/>
        <w:tabs>
          <w:tab w:val="left" w:pos="397"/>
        </w:tabs>
        <w:autoSpaceDE w:val="0"/>
        <w:autoSpaceDN w:val="0"/>
        <w:ind w:right="644"/>
        <w:rPr>
          <w:rFonts w:ascii="Arial" w:hAnsi="Arial" w:cs="Arial"/>
          <w:sz w:val="16"/>
          <w:szCs w:val="16"/>
        </w:rPr>
      </w:pPr>
      <w:r w:rsidRPr="00B13BFB">
        <w:rPr>
          <w:rFonts w:ascii="Arial" w:hAnsi="Arial" w:cs="Arial"/>
          <w:b/>
          <w:sz w:val="16"/>
          <w:szCs w:val="16"/>
        </w:rPr>
        <w:t>9.9.</w:t>
      </w:r>
      <w:r w:rsidRPr="00B13BFB">
        <w:rPr>
          <w:rFonts w:ascii="Arial" w:hAnsi="Arial" w:cs="Arial"/>
          <w:sz w:val="16"/>
          <w:szCs w:val="16"/>
        </w:rPr>
        <w:t xml:space="preserve"> As sanções serão aplicadas, no que couber, sem prejuízo da responsabilidade civil e criminal que possa ser acionada em desfavor da Contratada, conforme infração cometida e prejuízos causados à administração ou a terceiros;</w:t>
      </w:r>
    </w:p>
    <w:p w:rsidR="00DF79A2" w:rsidRPr="00B13BFB" w:rsidRDefault="00DF79A2" w:rsidP="00B13BFB">
      <w:pPr>
        <w:pStyle w:val="Corpodetexto"/>
        <w:rPr>
          <w:rFonts w:ascii="Arial" w:hAnsi="Arial" w:cs="Arial"/>
          <w:sz w:val="16"/>
          <w:szCs w:val="16"/>
        </w:rPr>
      </w:pPr>
    </w:p>
    <w:p w:rsidR="00DF79A2" w:rsidRPr="00DF79A2" w:rsidRDefault="00DF79A2" w:rsidP="00F07D69">
      <w:pPr>
        <w:jc w:val="both"/>
        <w:rPr>
          <w:rFonts w:ascii="Arial" w:hAnsi="Arial" w:cs="Arial"/>
          <w:sz w:val="16"/>
          <w:szCs w:val="16"/>
        </w:rPr>
      </w:pPr>
      <w:r w:rsidRPr="00B13BFB">
        <w:rPr>
          <w:rFonts w:ascii="Arial" w:hAnsi="Arial" w:cs="Arial"/>
          <w:b/>
          <w:sz w:val="16"/>
          <w:szCs w:val="16"/>
        </w:rPr>
        <w:t>9.10.</w:t>
      </w:r>
      <w:r w:rsidRPr="00B13BFB">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w:t>
      </w:r>
      <w:r w:rsidR="00F07D69">
        <w:t>outras equivalentes que surgirem, conforme o caso:</w:t>
      </w:r>
    </w:p>
    <w:tbl>
      <w:tblPr>
        <w:tblpPr w:leftFromText="141" w:rightFromText="141" w:vertAnchor="text" w:horzAnchor="margin" w:tblpY="231"/>
        <w:tblW w:w="9131" w:type="dxa"/>
        <w:tblBorders>
          <w:top w:val="double" w:sz="2" w:space="0" w:color="2C2C2C"/>
          <w:left w:val="double" w:sz="2" w:space="0" w:color="2C2C2C"/>
          <w:bottom w:val="double" w:sz="2" w:space="0" w:color="2C2C2C"/>
          <w:right w:val="double" w:sz="2" w:space="0" w:color="2C2C2C"/>
          <w:insideH w:val="double" w:sz="2" w:space="0" w:color="2C2C2C"/>
          <w:insideV w:val="double" w:sz="2" w:space="0" w:color="2C2C2C"/>
        </w:tblBorders>
        <w:tblLayout w:type="fixed"/>
        <w:tblCellMar>
          <w:left w:w="0" w:type="dxa"/>
          <w:right w:w="0" w:type="dxa"/>
        </w:tblCellMar>
        <w:tblLook w:val="01E0"/>
      </w:tblPr>
      <w:tblGrid>
        <w:gridCol w:w="610"/>
        <w:gridCol w:w="6452"/>
        <w:gridCol w:w="852"/>
        <w:gridCol w:w="1153"/>
        <w:gridCol w:w="64"/>
      </w:tblGrid>
      <w:tr w:rsidR="00DF79A2" w:rsidRPr="00DF79A2" w:rsidTr="00DF79A2">
        <w:trPr>
          <w:gridAfter w:val="1"/>
          <w:wAfter w:w="64" w:type="dxa"/>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ITEM</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DESCRIÇÃO DA INFRAÇÃO</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GRAU</w:t>
            </w:r>
          </w:p>
        </w:tc>
        <w:tc>
          <w:tcPr>
            <w:tcW w:w="1153" w:type="dxa"/>
            <w:tcBorders>
              <w:right w:val="nil"/>
            </w:tcBorders>
            <w:shd w:val="clear" w:color="auto" w:fill="auto"/>
          </w:tcPr>
          <w:p w:rsidR="00DF79A2" w:rsidRPr="00DF79A2" w:rsidRDefault="00DF79A2" w:rsidP="00DF79A2">
            <w:pPr>
              <w:pStyle w:val="TableParagraph"/>
              <w:spacing w:before="14" w:line="161" w:lineRule="exact"/>
              <w:ind w:right="3"/>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MULTA</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Permitir situação que crie a possibilidade ou cause dano fisico, lesão corporal ou consequências letais;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06</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4,0%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2.</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Usar indevidamente informações sigilosas a que teve acesso;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06</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4,0% por</w:t>
            </w:r>
          </w:p>
        </w:tc>
      </w:tr>
      <w:tr w:rsidR="00DF79A2" w:rsidRPr="00DF79A2" w:rsidTr="00DF79A2">
        <w:trPr>
          <w:trHeight w:val="298"/>
        </w:trPr>
        <w:tc>
          <w:tcPr>
            <w:tcW w:w="610" w:type="dxa"/>
            <w:shd w:val="clear" w:color="auto" w:fill="auto"/>
          </w:tcPr>
          <w:p w:rsidR="00DF79A2" w:rsidRPr="00DF79A2" w:rsidRDefault="00DF79A2" w:rsidP="00DF79A2">
            <w:pPr>
              <w:pStyle w:val="TableParagraph"/>
              <w:spacing w:before="10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3.</w:t>
            </w:r>
          </w:p>
        </w:tc>
        <w:tc>
          <w:tcPr>
            <w:tcW w:w="6452" w:type="dxa"/>
            <w:shd w:val="clear" w:color="auto" w:fill="auto"/>
          </w:tcPr>
          <w:p w:rsidR="00DF79A2" w:rsidRPr="00DF79A2" w:rsidRDefault="00DF79A2" w:rsidP="00DF79A2">
            <w:pPr>
              <w:pStyle w:val="TableParagraph"/>
              <w:spacing w:before="5" w:line="180" w:lineRule="atLeast"/>
              <w:ind w:left="52" w:right="687"/>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Suspender ou interromper, salvo por motivo de força maior ou caso fortuito, os serviços contratuais por dia e por unidade de atendimento;</w:t>
            </w:r>
          </w:p>
        </w:tc>
        <w:tc>
          <w:tcPr>
            <w:tcW w:w="852" w:type="dxa"/>
            <w:shd w:val="clear" w:color="auto" w:fill="auto"/>
          </w:tcPr>
          <w:p w:rsidR="00DF79A2" w:rsidRPr="00DF79A2" w:rsidRDefault="00DF79A2" w:rsidP="00DF79A2">
            <w:pPr>
              <w:pStyle w:val="TableParagraph"/>
              <w:spacing w:before="104"/>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05</w:t>
            </w:r>
          </w:p>
        </w:tc>
        <w:tc>
          <w:tcPr>
            <w:tcW w:w="1217" w:type="dxa"/>
            <w:gridSpan w:val="2"/>
            <w:tcBorders>
              <w:right w:val="nil"/>
            </w:tcBorders>
            <w:shd w:val="clear" w:color="auto" w:fill="auto"/>
          </w:tcPr>
          <w:p w:rsidR="00DF79A2" w:rsidRPr="00DF79A2" w:rsidRDefault="00DF79A2" w:rsidP="00DF79A2">
            <w:pPr>
              <w:pStyle w:val="TableParagraph"/>
              <w:spacing w:before="104"/>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3,2%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4.</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Destruir ou daniﬁcar documentos por culpa ou dolo de seus agentes;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05</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3,2%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5.</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Recusar-se a executar serviço determinado pela FISCALIZAÇÃO, sem motivo justiﬁcado;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1,6%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6.</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Manter funcionário sem qualiﬁcação para a execução dos serviços; por empregado e por dia.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03</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0,8% por</w:t>
            </w:r>
          </w:p>
        </w:tc>
      </w:tr>
      <w:tr w:rsidR="00DF79A2" w:rsidRPr="00DF79A2" w:rsidTr="00DF79A2">
        <w:trPr>
          <w:trHeight w:val="298"/>
        </w:trPr>
        <w:tc>
          <w:tcPr>
            <w:tcW w:w="610" w:type="dxa"/>
            <w:shd w:val="clear" w:color="auto" w:fill="auto"/>
          </w:tcPr>
          <w:p w:rsidR="00DF79A2" w:rsidRPr="00DF79A2" w:rsidRDefault="00DF79A2" w:rsidP="00DF79A2">
            <w:pPr>
              <w:pStyle w:val="TableParagraph"/>
              <w:spacing w:before="10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7.</w:t>
            </w:r>
          </w:p>
        </w:tc>
        <w:tc>
          <w:tcPr>
            <w:tcW w:w="6452" w:type="dxa"/>
            <w:shd w:val="clear" w:color="auto" w:fill="auto"/>
          </w:tcPr>
          <w:p w:rsidR="00DF79A2" w:rsidRPr="00DF79A2" w:rsidRDefault="00DF79A2" w:rsidP="00DF79A2">
            <w:pPr>
              <w:pStyle w:val="TableParagraph"/>
              <w:spacing w:before="5" w:line="180" w:lineRule="atLeast"/>
              <w:ind w:left="52" w:right="846"/>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Executar serviço incompleto, paliativo substitutivo como por caráter permanente, ou deixar de providenciar recomposição complementar; por ocorrência.</w:t>
            </w:r>
          </w:p>
        </w:tc>
        <w:tc>
          <w:tcPr>
            <w:tcW w:w="852" w:type="dxa"/>
            <w:shd w:val="clear" w:color="auto" w:fill="auto"/>
          </w:tcPr>
          <w:p w:rsidR="00DF79A2" w:rsidRPr="00DF79A2" w:rsidRDefault="00DF79A2" w:rsidP="00DF79A2">
            <w:pPr>
              <w:pStyle w:val="TableParagraph"/>
              <w:spacing w:before="104"/>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w:t>
            </w:r>
          </w:p>
        </w:tc>
        <w:tc>
          <w:tcPr>
            <w:tcW w:w="1217" w:type="dxa"/>
            <w:gridSpan w:val="2"/>
            <w:tcBorders>
              <w:right w:val="nil"/>
            </w:tcBorders>
            <w:shd w:val="clear" w:color="auto" w:fill="auto"/>
          </w:tcPr>
          <w:p w:rsidR="00DF79A2" w:rsidRPr="00DF79A2" w:rsidRDefault="00DF79A2" w:rsidP="00DF79A2">
            <w:pPr>
              <w:pStyle w:val="TableParagraph"/>
              <w:spacing w:before="104"/>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8.</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Fornecer informação pérﬁda de serviço ou substituição de material;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 por</w:t>
            </w:r>
          </w:p>
        </w:tc>
      </w:tr>
      <w:tr w:rsidR="00DF79A2" w:rsidRPr="00DF79A2" w:rsidTr="00DF79A2">
        <w:trPr>
          <w:trHeight w:val="298"/>
        </w:trPr>
        <w:tc>
          <w:tcPr>
            <w:tcW w:w="610" w:type="dxa"/>
            <w:shd w:val="clear" w:color="auto" w:fill="auto"/>
          </w:tcPr>
          <w:p w:rsidR="00DF79A2" w:rsidRPr="00DF79A2" w:rsidRDefault="00DF79A2" w:rsidP="00DF79A2">
            <w:pPr>
              <w:pStyle w:val="TableParagraph"/>
              <w:spacing w:before="10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9.</w:t>
            </w:r>
          </w:p>
        </w:tc>
        <w:tc>
          <w:tcPr>
            <w:tcW w:w="6452" w:type="dxa"/>
            <w:shd w:val="clear" w:color="auto" w:fill="auto"/>
          </w:tcPr>
          <w:p w:rsidR="00DF79A2" w:rsidRPr="00DF79A2" w:rsidRDefault="00DF79A2" w:rsidP="00DF79A2">
            <w:pPr>
              <w:pStyle w:val="TableParagraph"/>
              <w:spacing w:before="5" w:line="180" w:lineRule="atLeast"/>
              <w:ind w:left="52" w:right="67"/>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Permitir a presença de funcionário sem uniforme e/ou com uniforme manchado, sujo, mal apresentado e/ou sem crachá registrado por ocorrência(s);</w:t>
            </w:r>
          </w:p>
        </w:tc>
        <w:tc>
          <w:tcPr>
            <w:tcW w:w="852" w:type="dxa"/>
            <w:shd w:val="clear" w:color="auto" w:fill="auto"/>
          </w:tcPr>
          <w:p w:rsidR="00DF79A2" w:rsidRPr="00DF79A2" w:rsidRDefault="00DF79A2" w:rsidP="00DF79A2">
            <w:pPr>
              <w:pStyle w:val="TableParagraph"/>
              <w:spacing w:before="104"/>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01</w:t>
            </w:r>
          </w:p>
        </w:tc>
        <w:tc>
          <w:tcPr>
            <w:tcW w:w="1217" w:type="dxa"/>
            <w:gridSpan w:val="2"/>
            <w:tcBorders>
              <w:right w:val="nil"/>
            </w:tcBorders>
            <w:shd w:val="clear" w:color="auto" w:fill="auto"/>
          </w:tcPr>
          <w:p w:rsidR="00DF79A2" w:rsidRPr="00DF79A2" w:rsidRDefault="00DF79A2" w:rsidP="00DF79A2">
            <w:pPr>
              <w:pStyle w:val="TableParagraph"/>
              <w:spacing w:before="104"/>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 por</w:t>
            </w:r>
          </w:p>
        </w:tc>
      </w:tr>
      <w:tr w:rsidR="00DF79A2" w:rsidRPr="00DF79A2" w:rsidTr="00DF79A2">
        <w:trPr>
          <w:trHeight w:val="155"/>
        </w:trPr>
        <w:tc>
          <w:tcPr>
            <w:tcW w:w="9131" w:type="dxa"/>
            <w:gridSpan w:val="5"/>
            <w:tcBorders>
              <w:right w:val="nil"/>
            </w:tcBorders>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Para os itens a seguir, deixar de:</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10.</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Efetuar o pagamento de salários até o quinto dia útil; por dia e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06</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4,0% por</w:t>
            </w:r>
          </w:p>
        </w:tc>
      </w:tr>
      <w:tr w:rsidR="00DF79A2" w:rsidRPr="00DF79A2" w:rsidTr="00DF79A2">
        <w:trPr>
          <w:trHeight w:val="298"/>
        </w:trPr>
        <w:tc>
          <w:tcPr>
            <w:tcW w:w="610" w:type="dxa"/>
            <w:shd w:val="clear" w:color="auto" w:fill="auto"/>
          </w:tcPr>
          <w:p w:rsidR="00DF79A2" w:rsidRPr="00DF79A2" w:rsidRDefault="00DF79A2" w:rsidP="00DF79A2">
            <w:pPr>
              <w:pStyle w:val="TableParagraph"/>
              <w:spacing w:before="10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11.</w:t>
            </w:r>
          </w:p>
        </w:tc>
        <w:tc>
          <w:tcPr>
            <w:tcW w:w="6452" w:type="dxa"/>
            <w:shd w:val="clear" w:color="auto" w:fill="auto"/>
          </w:tcPr>
          <w:p w:rsidR="00DF79A2" w:rsidRPr="00DF79A2" w:rsidRDefault="00DF79A2" w:rsidP="00DF79A2">
            <w:pPr>
              <w:pStyle w:val="TableParagraph"/>
              <w:spacing w:before="5" w:line="180" w:lineRule="atLeast"/>
              <w:ind w:left="52" w:right="49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Efetuar o pagamento de seguros, encargos ﬁscais e sociais, assim como quaisquer despesas diretas e/ou indiretas relacionadas à execução deste contrato; por dia e por ocorrência;</w:t>
            </w:r>
          </w:p>
        </w:tc>
        <w:tc>
          <w:tcPr>
            <w:tcW w:w="852" w:type="dxa"/>
            <w:shd w:val="clear" w:color="auto" w:fill="auto"/>
          </w:tcPr>
          <w:p w:rsidR="00DF79A2" w:rsidRPr="00DF79A2" w:rsidRDefault="00DF79A2" w:rsidP="00DF79A2">
            <w:pPr>
              <w:pStyle w:val="TableParagraph"/>
              <w:spacing w:before="104"/>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05</w:t>
            </w:r>
          </w:p>
        </w:tc>
        <w:tc>
          <w:tcPr>
            <w:tcW w:w="1217" w:type="dxa"/>
            <w:gridSpan w:val="2"/>
            <w:tcBorders>
              <w:right w:val="nil"/>
            </w:tcBorders>
            <w:shd w:val="clear" w:color="auto" w:fill="auto"/>
          </w:tcPr>
          <w:p w:rsidR="00DF79A2" w:rsidRPr="00DF79A2" w:rsidRDefault="00DF79A2" w:rsidP="00DF79A2">
            <w:pPr>
              <w:pStyle w:val="TableParagraph"/>
              <w:spacing w:before="104"/>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3,2%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12.</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Efetuar a reposição de funcionários faltosos, por funcionários e por dia;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1,6% por</w:t>
            </w:r>
          </w:p>
        </w:tc>
      </w:tr>
      <w:tr w:rsidR="00DF79A2" w:rsidRPr="00DF79A2" w:rsidTr="00DF79A2">
        <w:trPr>
          <w:trHeight w:val="442"/>
        </w:trPr>
        <w:tc>
          <w:tcPr>
            <w:tcW w:w="610" w:type="dxa"/>
            <w:shd w:val="clear" w:color="auto" w:fill="auto"/>
          </w:tcPr>
          <w:p w:rsidR="00DF79A2" w:rsidRPr="00DF79A2" w:rsidRDefault="00DF79A2" w:rsidP="00DF79A2">
            <w:pPr>
              <w:pStyle w:val="TableParagraph"/>
              <w:spacing w:before="11"/>
              <w:rPr>
                <w:rFonts w:ascii="Arial" w:eastAsia="Times New Roman" w:hAnsi="Arial" w:cs="Arial"/>
                <w:sz w:val="16"/>
                <w:szCs w:val="16"/>
                <w:lang w:val="pt-BR" w:eastAsia="pt-BR" w:bidi="ar-SA"/>
              </w:rPr>
            </w:pPr>
          </w:p>
          <w:p w:rsidR="00DF79A2" w:rsidRPr="00DF79A2" w:rsidRDefault="00DF79A2" w:rsidP="00DF79A2">
            <w:pPr>
              <w:pStyle w:val="TableParagraph"/>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13.</w:t>
            </w:r>
          </w:p>
        </w:tc>
        <w:tc>
          <w:tcPr>
            <w:tcW w:w="6452" w:type="dxa"/>
            <w:shd w:val="clear" w:color="auto" w:fill="auto"/>
          </w:tcPr>
          <w:p w:rsidR="00DF79A2" w:rsidRPr="00DF79A2" w:rsidRDefault="00DF79A2" w:rsidP="00DF79A2">
            <w:pPr>
              <w:pStyle w:val="TableParagraph"/>
              <w:spacing w:before="104" w:line="252" w:lineRule="auto"/>
              <w:ind w:left="52" w:right="61"/>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Cumprir prazo previamente estabelecido com a FISCALIZAÇÃO para fornecimento de materiais ou execução de serviços; por unidade de tempo deﬁnida para determinar o atraso.</w:t>
            </w:r>
          </w:p>
        </w:tc>
        <w:tc>
          <w:tcPr>
            <w:tcW w:w="852" w:type="dxa"/>
            <w:shd w:val="clear" w:color="auto" w:fill="auto"/>
          </w:tcPr>
          <w:p w:rsidR="00DF79A2" w:rsidRPr="00DF79A2" w:rsidRDefault="00DF79A2" w:rsidP="00DF79A2">
            <w:pPr>
              <w:pStyle w:val="TableParagraph"/>
              <w:spacing w:before="11"/>
              <w:rPr>
                <w:rFonts w:ascii="Arial" w:eastAsia="Times New Roman" w:hAnsi="Arial" w:cs="Arial"/>
                <w:sz w:val="16"/>
                <w:szCs w:val="16"/>
                <w:lang w:val="pt-BR" w:eastAsia="pt-BR" w:bidi="ar-SA"/>
              </w:rPr>
            </w:pPr>
          </w:p>
          <w:p w:rsidR="00DF79A2" w:rsidRPr="00DF79A2" w:rsidRDefault="00DF79A2" w:rsidP="00DF79A2">
            <w:pPr>
              <w:pStyle w:val="TableParagraph"/>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03</w:t>
            </w:r>
          </w:p>
        </w:tc>
        <w:tc>
          <w:tcPr>
            <w:tcW w:w="1217" w:type="dxa"/>
            <w:gridSpan w:val="2"/>
            <w:tcBorders>
              <w:right w:val="nil"/>
            </w:tcBorders>
            <w:shd w:val="clear" w:color="auto" w:fill="auto"/>
          </w:tcPr>
          <w:p w:rsidR="00DF79A2" w:rsidRPr="00DF79A2" w:rsidRDefault="00DF79A2" w:rsidP="00DF79A2">
            <w:pPr>
              <w:pStyle w:val="TableParagraph"/>
              <w:spacing w:before="11"/>
              <w:rPr>
                <w:rFonts w:ascii="Arial" w:eastAsia="Times New Roman" w:hAnsi="Arial" w:cs="Arial"/>
                <w:sz w:val="16"/>
                <w:szCs w:val="16"/>
                <w:lang w:val="pt-BR" w:eastAsia="pt-BR" w:bidi="ar-SA"/>
              </w:rPr>
            </w:pPr>
          </w:p>
          <w:p w:rsidR="00DF79A2" w:rsidRPr="00DF79A2" w:rsidRDefault="00DF79A2" w:rsidP="00DF79A2">
            <w:pPr>
              <w:pStyle w:val="TableParagraph"/>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0,8% por</w:t>
            </w:r>
          </w:p>
        </w:tc>
      </w:tr>
      <w:tr w:rsidR="00DF79A2" w:rsidRPr="00DF79A2" w:rsidTr="00DF79A2">
        <w:trPr>
          <w:trHeight w:val="298"/>
        </w:trPr>
        <w:tc>
          <w:tcPr>
            <w:tcW w:w="610" w:type="dxa"/>
            <w:shd w:val="clear" w:color="auto" w:fill="auto"/>
          </w:tcPr>
          <w:p w:rsidR="00DF79A2" w:rsidRPr="00DF79A2" w:rsidRDefault="00DF79A2" w:rsidP="00DF79A2">
            <w:pPr>
              <w:pStyle w:val="TableParagraph"/>
              <w:spacing w:before="10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14.</w:t>
            </w:r>
          </w:p>
        </w:tc>
        <w:tc>
          <w:tcPr>
            <w:tcW w:w="6452" w:type="dxa"/>
            <w:shd w:val="clear" w:color="auto" w:fill="auto"/>
          </w:tcPr>
          <w:p w:rsidR="00DF79A2" w:rsidRPr="00DF79A2" w:rsidRDefault="00DF79A2" w:rsidP="00DF79A2">
            <w:pPr>
              <w:pStyle w:val="TableParagraph"/>
              <w:spacing w:before="5" w:line="180" w:lineRule="atLeast"/>
              <w:ind w:left="52" w:right="13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Cumprir quaisquer dos itens do Edital e seus anexos, mesmo que não previstos nesta tabela de multas, após reincidência formalmente notiﬁcada pela FISCALIZAÇÃO; por ocorrência.</w:t>
            </w:r>
          </w:p>
        </w:tc>
        <w:tc>
          <w:tcPr>
            <w:tcW w:w="852" w:type="dxa"/>
            <w:shd w:val="clear" w:color="auto" w:fill="auto"/>
          </w:tcPr>
          <w:p w:rsidR="00DF79A2" w:rsidRPr="00DF79A2" w:rsidRDefault="00DF79A2" w:rsidP="00DF79A2">
            <w:pPr>
              <w:pStyle w:val="TableParagraph"/>
              <w:spacing w:before="104"/>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03</w:t>
            </w:r>
          </w:p>
        </w:tc>
        <w:tc>
          <w:tcPr>
            <w:tcW w:w="1217" w:type="dxa"/>
            <w:gridSpan w:val="2"/>
            <w:tcBorders>
              <w:right w:val="nil"/>
            </w:tcBorders>
            <w:shd w:val="clear" w:color="auto" w:fill="auto"/>
          </w:tcPr>
          <w:p w:rsidR="00DF79A2" w:rsidRPr="00DF79A2" w:rsidRDefault="00DF79A2" w:rsidP="00DF79A2">
            <w:pPr>
              <w:pStyle w:val="TableParagraph"/>
              <w:spacing w:before="104"/>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0,8%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15.</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Zelar pelas instalações do órgão e do ambiente de trabalho, por item e por dia;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03</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0,8% por</w:t>
            </w:r>
          </w:p>
        </w:tc>
      </w:tr>
      <w:tr w:rsidR="00DF79A2" w:rsidRPr="00DF79A2" w:rsidTr="00DF79A2">
        <w:trPr>
          <w:trHeight w:val="298"/>
        </w:trPr>
        <w:tc>
          <w:tcPr>
            <w:tcW w:w="610" w:type="dxa"/>
            <w:shd w:val="clear" w:color="auto" w:fill="auto"/>
          </w:tcPr>
          <w:p w:rsidR="00DF79A2" w:rsidRPr="00DF79A2" w:rsidRDefault="00DF79A2" w:rsidP="00DF79A2">
            <w:pPr>
              <w:pStyle w:val="TableParagraph"/>
              <w:spacing w:before="10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16.</w:t>
            </w:r>
          </w:p>
        </w:tc>
        <w:tc>
          <w:tcPr>
            <w:tcW w:w="6452" w:type="dxa"/>
            <w:shd w:val="clear" w:color="auto" w:fill="auto"/>
          </w:tcPr>
          <w:p w:rsidR="00DF79A2" w:rsidRPr="00DF79A2" w:rsidRDefault="00DF79A2" w:rsidP="00DF79A2">
            <w:pPr>
              <w:pStyle w:val="TableParagraph"/>
              <w:spacing w:before="1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Refazer serviço não aceito pela FISCALIZAÇÃO, nos prazos</w:t>
            </w:r>
          </w:p>
          <w:p w:rsidR="00DF79A2" w:rsidRPr="00DF79A2" w:rsidRDefault="00DF79A2" w:rsidP="00DF79A2">
            <w:pPr>
              <w:pStyle w:val="TableParagraph"/>
              <w:spacing w:before="9"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lastRenderedPageBreak/>
              <w:t>estabelecidos no contrato ou determinado pela FISCALIZAÇÃO; por unidade de tempo deﬁnida para determinar o atraso.</w:t>
            </w:r>
          </w:p>
        </w:tc>
        <w:tc>
          <w:tcPr>
            <w:tcW w:w="852" w:type="dxa"/>
            <w:shd w:val="clear" w:color="auto" w:fill="auto"/>
          </w:tcPr>
          <w:p w:rsidR="00DF79A2" w:rsidRPr="00DF79A2" w:rsidRDefault="00DF79A2" w:rsidP="00DF79A2">
            <w:pPr>
              <w:pStyle w:val="TableParagraph"/>
              <w:spacing w:before="104"/>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lastRenderedPageBreak/>
              <w:t>03</w:t>
            </w:r>
          </w:p>
        </w:tc>
        <w:tc>
          <w:tcPr>
            <w:tcW w:w="1217" w:type="dxa"/>
            <w:gridSpan w:val="2"/>
            <w:tcBorders>
              <w:right w:val="nil"/>
            </w:tcBorders>
            <w:shd w:val="clear" w:color="auto" w:fill="auto"/>
          </w:tcPr>
          <w:p w:rsidR="00DF79A2" w:rsidRPr="00DF79A2" w:rsidRDefault="00DF79A2" w:rsidP="00DF79A2">
            <w:pPr>
              <w:pStyle w:val="TableParagraph"/>
              <w:spacing w:before="104"/>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0,8%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lastRenderedPageBreak/>
              <w:t>17.</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Cumprir determinação formal ou instrução complementar da FISCALIZAÇÃO,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03</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0,8% por</w:t>
            </w:r>
          </w:p>
        </w:tc>
      </w:tr>
      <w:tr w:rsidR="00DF79A2" w:rsidRPr="00DF79A2" w:rsidTr="00DF79A2">
        <w:trPr>
          <w:trHeight w:val="298"/>
        </w:trPr>
        <w:tc>
          <w:tcPr>
            <w:tcW w:w="610" w:type="dxa"/>
            <w:shd w:val="clear" w:color="auto" w:fill="auto"/>
          </w:tcPr>
          <w:p w:rsidR="00DF79A2" w:rsidRPr="00DF79A2" w:rsidRDefault="00DF79A2" w:rsidP="00DF79A2">
            <w:pPr>
              <w:pStyle w:val="TableParagraph"/>
              <w:spacing w:before="104"/>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18.</w:t>
            </w:r>
          </w:p>
        </w:tc>
        <w:tc>
          <w:tcPr>
            <w:tcW w:w="6452" w:type="dxa"/>
            <w:shd w:val="clear" w:color="auto" w:fill="auto"/>
          </w:tcPr>
          <w:p w:rsidR="00DF79A2" w:rsidRPr="00DF79A2" w:rsidRDefault="00DF79A2" w:rsidP="00DF79A2">
            <w:pPr>
              <w:pStyle w:val="TableParagraph"/>
              <w:spacing w:before="5" w:line="180" w:lineRule="atLeast"/>
              <w:ind w:left="52" w:right="-7"/>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Iniciar execução de serviço nos prazos estabelecidos pela FISCALIZAÇÃO, observados os limites mínimos estabelecidos por este Contrato; por serviço, por ocorrência.</w:t>
            </w:r>
          </w:p>
        </w:tc>
        <w:tc>
          <w:tcPr>
            <w:tcW w:w="852" w:type="dxa"/>
            <w:shd w:val="clear" w:color="auto" w:fill="auto"/>
          </w:tcPr>
          <w:p w:rsidR="00DF79A2" w:rsidRPr="00DF79A2" w:rsidRDefault="00DF79A2" w:rsidP="00DF79A2">
            <w:pPr>
              <w:pStyle w:val="TableParagraph"/>
              <w:spacing w:before="104"/>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w:t>
            </w:r>
          </w:p>
        </w:tc>
        <w:tc>
          <w:tcPr>
            <w:tcW w:w="1217" w:type="dxa"/>
            <w:gridSpan w:val="2"/>
            <w:tcBorders>
              <w:right w:val="nil"/>
            </w:tcBorders>
            <w:shd w:val="clear" w:color="auto" w:fill="auto"/>
          </w:tcPr>
          <w:p w:rsidR="00DF79A2" w:rsidRPr="00DF79A2" w:rsidRDefault="00DF79A2" w:rsidP="00DF79A2">
            <w:pPr>
              <w:pStyle w:val="TableParagraph"/>
              <w:spacing w:before="104"/>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19.</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Disponibilizar equipamentos, insumos e papel necessários à realização dos serviços do escopo do contrato;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35"/>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20.</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Ressarcir o órgão por eventuais danos causados por seus funcionários, em Veículos, equipamentos etc.</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21.</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Fornecer 02(dois) uniformes e dois pares de sapato, semestralmente, por funcionário e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0,4%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22.</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Registrar e controlar, diariamente, a assiduidade e a pontualidade de seu pessoal, por empregado e por dia;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01</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23.</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Entregar os vales transporte e/ou ticket-refeição nas datas avençadas, por ocorrência e por dia;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01</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 por</w:t>
            </w:r>
          </w:p>
        </w:tc>
      </w:tr>
      <w:tr w:rsidR="00DF79A2" w:rsidRPr="00DF79A2" w:rsidTr="00DF79A2">
        <w:trPr>
          <w:trHeight w:val="155"/>
        </w:trPr>
        <w:tc>
          <w:tcPr>
            <w:tcW w:w="610"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24.</w:t>
            </w:r>
          </w:p>
        </w:tc>
        <w:tc>
          <w:tcPr>
            <w:tcW w:w="6452" w:type="dxa"/>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Manter a documentação de habilitação atualizada; por item, por ocorrência.</w:t>
            </w:r>
          </w:p>
        </w:tc>
        <w:tc>
          <w:tcPr>
            <w:tcW w:w="852" w:type="dxa"/>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01</w:t>
            </w:r>
          </w:p>
        </w:tc>
        <w:tc>
          <w:tcPr>
            <w:tcW w:w="1217" w:type="dxa"/>
            <w:gridSpan w:val="2"/>
            <w:tcBorders>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 por</w:t>
            </w:r>
          </w:p>
        </w:tc>
      </w:tr>
      <w:tr w:rsidR="00DF79A2" w:rsidRPr="00DF79A2" w:rsidTr="00DF79A2">
        <w:trPr>
          <w:trHeight w:val="155"/>
        </w:trPr>
        <w:tc>
          <w:tcPr>
            <w:tcW w:w="610" w:type="dxa"/>
            <w:tcBorders>
              <w:bottom w:val="double" w:sz="2" w:space="0" w:color="808080"/>
            </w:tcBorders>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25.</w:t>
            </w:r>
          </w:p>
        </w:tc>
        <w:tc>
          <w:tcPr>
            <w:tcW w:w="6452" w:type="dxa"/>
            <w:tcBorders>
              <w:bottom w:val="double" w:sz="2" w:space="0" w:color="808080"/>
            </w:tcBorders>
            <w:shd w:val="clear" w:color="auto" w:fill="auto"/>
          </w:tcPr>
          <w:p w:rsidR="00DF79A2" w:rsidRPr="00DF79A2" w:rsidRDefault="00DF79A2" w:rsidP="00DF79A2">
            <w:pPr>
              <w:pStyle w:val="TableParagraph"/>
              <w:spacing w:before="14" w:line="161" w:lineRule="exact"/>
              <w:ind w:left="52"/>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Substituir funcionário que se conduza de modo inconveniente ou não atenda às necessidades do Órgão, por funcionário e por dia;</w:t>
            </w:r>
          </w:p>
        </w:tc>
        <w:tc>
          <w:tcPr>
            <w:tcW w:w="852" w:type="dxa"/>
            <w:tcBorders>
              <w:bottom w:val="double" w:sz="2" w:space="0" w:color="808080"/>
            </w:tcBorders>
            <w:shd w:val="clear" w:color="auto" w:fill="auto"/>
          </w:tcPr>
          <w:p w:rsidR="00DF79A2" w:rsidRPr="00DF79A2" w:rsidRDefault="00DF79A2" w:rsidP="00DF79A2">
            <w:pPr>
              <w:pStyle w:val="TableParagraph"/>
              <w:spacing w:before="14" w:line="161" w:lineRule="exact"/>
              <w:ind w:left="206" w:right="198"/>
              <w:jc w:val="center"/>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01</w:t>
            </w:r>
          </w:p>
        </w:tc>
        <w:tc>
          <w:tcPr>
            <w:tcW w:w="1217" w:type="dxa"/>
            <w:gridSpan w:val="2"/>
            <w:tcBorders>
              <w:bottom w:val="double" w:sz="2" w:space="0" w:color="808080"/>
              <w:right w:val="nil"/>
            </w:tcBorders>
            <w:shd w:val="clear" w:color="auto" w:fill="auto"/>
          </w:tcPr>
          <w:p w:rsidR="00DF79A2" w:rsidRPr="00DF79A2" w:rsidRDefault="00DF79A2" w:rsidP="00DF79A2">
            <w:pPr>
              <w:pStyle w:val="TableParagraph"/>
              <w:spacing w:before="14" w:line="161" w:lineRule="exact"/>
              <w:ind w:right="16"/>
              <w:jc w:val="right"/>
              <w:rPr>
                <w:rFonts w:ascii="Arial" w:eastAsia="Times New Roman" w:hAnsi="Arial" w:cs="Arial"/>
                <w:sz w:val="16"/>
                <w:szCs w:val="16"/>
                <w:lang w:val="pt-BR" w:eastAsia="pt-BR" w:bidi="ar-SA"/>
              </w:rPr>
            </w:pPr>
            <w:r w:rsidRPr="00DF79A2">
              <w:rPr>
                <w:rFonts w:ascii="Arial" w:eastAsia="Times New Roman" w:hAnsi="Arial" w:cs="Arial"/>
                <w:sz w:val="16"/>
                <w:szCs w:val="16"/>
                <w:lang w:val="pt-BR" w:eastAsia="pt-BR" w:bidi="ar-SA"/>
              </w:rPr>
              <w:t>0,2% por</w:t>
            </w:r>
          </w:p>
        </w:tc>
      </w:tr>
    </w:tbl>
    <w:p w:rsidR="00DF79A2" w:rsidRPr="00DF79A2" w:rsidRDefault="00DF79A2" w:rsidP="00DF79A2">
      <w:pPr>
        <w:pStyle w:val="Corpodetexto"/>
        <w:spacing w:before="9"/>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DF79A2" w:rsidRPr="00DF79A2" w:rsidRDefault="00DF79A2" w:rsidP="00DF79A2">
      <w:pPr>
        <w:jc w:val="both"/>
        <w:rPr>
          <w:rFonts w:ascii="Arial" w:hAnsi="Arial" w:cs="Arial"/>
          <w:sz w:val="16"/>
          <w:szCs w:val="16"/>
        </w:rPr>
      </w:pPr>
    </w:p>
    <w:p w:rsidR="00B13BFB" w:rsidRPr="00B13BFB" w:rsidRDefault="00B13BFB" w:rsidP="00B13BFB">
      <w:pPr>
        <w:ind w:left="140"/>
        <w:rPr>
          <w:rFonts w:ascii="Arial" w:hAnsi="Arial" w:cs="Arial"/>
          <w:sz w:val="16"/>
          <w:szCs w:val="16"/>
        </w:rPr>
      </w:pPr>
      <w:r w:rsidRPr="00B13BFB">
        <w:rPr>
          <w:rFonts w:ascii="Arial" w:hAnsi="Arial" w:cs="Arial"/>
          <w:sz w:val="16"/>
          <w:szCs w:val="16"/>
        </w:rPr>
        <w:t>* Incidente sobre o valor da parcela inadimplida.</w:t>
      </w:r>
    </w:p>
    <w:p w:rsidR="00B13BFB" w:rsidRDefault="00B13BFB" w:rsidP="00B13BFB">
      <w:pPr>
        <w:widowControl w:val="0"/>
        <w:tabs>
          <w:tab w:val="left" w:pos="397"/>
        </w:tabs>
        <w:autoSpaceDE w:val="0"/>
        <w:autoSpaceDN w:val="0"/>
        <w:spacing w:before="68" w:line="252" w:lineRule="auto"/>
        <w:ind w:right="610"/>
        <w:rPr>
          <w:rFonts w:ascii="Arial" w:hAnsi="Arial" w:cs="Arial"/>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b/>
          <w:sz w:val="16"/>
          <w:szCs w:val="16"/>
        </w:rPr>
        <w:t>9.11.</w:t>
      </w:r>
      <w:r w:rsidRPr="00B13BFB">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B13BFB" w:rsidRPr="00B13BFB" w:rsidRDefault="00B13BFB" w:rsidP="00B13BFB">
      <w:pPr>
        <w:widowControl w:val="0"/>
        <w:tabs>
          <w:tab w:val="left" w:pos="397"/>
        </w:tabs>
        <w:autoSpaceDE w:val="0"/>
        <w:autoSpaceDN w:val="0"/>
        <w:ind w:right="610"/>
        <w:rPr>
          <w:rFonts w:ascii="Arial" w:hAnsi="Arial" w:cs="Arial"/>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b/>
          <w:sz w:val="16"/>
          <w:szCs w:val="16"/>
        </w:rPr>
        <w:t>9.12</w:t>
      </w:r>
      <w:r w:rsidRPr="00B13BFB">
        <w:rPr>
          <w:rFonts w:ascii="Arial" w:hAnsi="Arial" w:cs="Arial"/>
          <w:sz w:val="16"/>
          <w:szCs w:val="16"/>
        </w:rPr>
        <w:t>. Após 30 (trinta) dias da falta de execução do objeto, será considerada inexecução total do contrato, o que ensejará a rescisão contratual;</w:t>
      </w:r>
    </w:p>
    <w:p w:rsidR="00B13BFB" w:rsidRPr="00B13BFB" w:rsidRDefault="00B13BFB" w:rsidP="00B13BFB">
      <w:pPr>
        <w:widowControl w:val="0"/>
        <w:tabs>
          <w:tab w:val="left" w:pos="397"/>
        </w:tabs>
        <w:autoSpaceDE w:val="0"/>
        <w:autoSpaceDN w:val="0"/>
        <w:ind w:right="610"/>
        <w:rPr>
          <w:rFonts w:ascii="Arial" w:hAnsi="Arial" w:cs="Arial"/>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b/>
          <w:sz w:val="16"/>
          <w:szCs w:val="16"/>
        </w:rPr>
        <w:t>9.13.</w:t>
      </w:r>
      <w:r w:rsidRPr="00B13BFB">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B13BFB" w:rsidRPr="00B13BFB" w:rsidRDefault="00B13BFB" w:rsidP="00B13BFB">
      <w:pPr>
        <w:widowControl w:val="0"/>
        <w:tabs>
          <w:tab w:val="left" w:pos="397"/>
        </w:tabs>
        <w:autoSpaceDE w:val="0"/>
        <w:autoSpaceDN w:val="0"/>
        <w:ind w:right="610"/>
        <w:rPr>
          <w:rFonts w:ascii="Arial" w:hAnsi="Arial" w:cs="Arial"/>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b/>
          <w:sz w:val="16"/>
          <w:szCs w:val="16"/>
        </w:rPr>
        <w:t>9.14.</w:t>
      </w:r>
      <w:r w:rsidRPr="00B13BFB">
        <w:rPr>
          <w:rFonts w:ascii="Arial" w:hAnsi="Arial" w:cs="Arial"/>
          <w:sz w:val="16"/>
          <w:szCs w:val="16"/>
        </w:rPr>
        <w:t xml:space="preserve"> As sanções previstas não poderão ser relevadas, salvo </w:t>
      </w:r>
      <w:proofErr w:type="spellStart"/>
      <w:r w:rsidRPr="00B13BFB">
        <w:rPr>
          <w:rFonts w:ascii="Arial" w:hAnsi="Arial" w:cs="Arial"/>
          <w:sz w:val="16"/>
          <w:szCs w:val="16"/>
        </w:rPr>
        <w:t>ﬁcar</w:t>
      </w:r>
      <w:proofErr w:type="spellEnd"/>
      <w:r w:rsidRPr="00B13BFB">
        <w:rPr>
          <w:rFonts w:ascii="Arial" w:hAnsi="Arial" w:cs="Arial"/>
          <w:sz w:val="16"/>
          <w:szCs w:val="16"/>
        </w:rPr>
        <w:t xml:space="preserve"> comprovada </w:t>
      </w:r>
      <w:proofErr w:type="gramStart"/>
      <w:r w:rsidRPr="00B13BFB">
        <w:rPr>
          <w:rFonts w:ascii="Arial" w:hAnsi="Arial" w:cs="Arial"/>
          <w:sz w:val="16"/>
          <w:szCs w:val="16"/>
        </w:rPr>
        <w:t>a</w:t>
      </w:r>
      <w:proofErr w:type="gramEnd"/>
      <w:r w:rsidRPr="00B13BFB">
        <w:rPr>
          <w:rFonts w:ascii="Arial" w:hAnsi="Arial" w:cs="Arial"/>
          <w:sz w:val="16"/>
          <w:szCs w:val="16"/>
        </w:rPr>
        <w:t xml:space="preserve"> ocorrência de situações que se enquadrem no conceito jurídico de força maior ou casos fortuitos, devidos e formalmente </w:t>
      </w:r>
      <w:proofErr w:type="spellStart"/>
      <w:r w:rsidRPr="00B13BFB">
        <w:rPr>
          <w:rFonts w:ascii="Arial" w:hAnsi="Arial" w:cs="Arial"/>
          <w:sz w:val="16"/>
          <w:szCs w:val="16"/>
        </w:rPr>
        <w:t>justiﬁcados</w:t>
      </w:r>
      <w:proofErr w:type="spellEnd"/>
      <w:r w:rsidRPr="00B13BFB">
        <w:rPr>
          <w:rFonts w:ascii="Arial" w:hAnsi="Arial" w:cs="Arial"/>
          <w:sz w:val="16"/>
          <w:szCs w:val="16"/>
        </w:rPr>
        <w:t xml:space="preserve"> e comprovados, e sempre a critério da autoridade competente, conforme prejuízo auferido;</w:t>
      </w:r>
    </w:p>
    <w:p w:rsidR="00B13BFB" w:rsidRPr="00B13BFB" w:rsidRDefault="00B13BFB" w:rsidP="00B13BFB">
      <w:pPr>
        <w:widowControl w:val="0"/>
        <w:tabs>
          <w:tab w:val="left" w:pos="397"/>
        </w:tabs>
        <w:autoSpaceDE w:val="0"/>
        <w:autoSpaceDN w:val="0"/>
        <w:ind w:right="610"/>
        <w:rPr>
          <w:rFonts w:ascii="Arial" w:hAnsi="Arial" w:cs="Arial"/>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530D30">
        <w:rPr>
          <w:rFonts w:ascii="Arial" w:hAnsi="Arial" w:cs="Arial"/>
          <w:b/>
          <w:sz w:val="16"/>
          <w:szCs w:val="16"/>
        </w:rPr>
        <w:t>9.15.</w:t>
      </w:r>
      <w:r w:rsidRPr="00B13BFB">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B13BFB" w:rsidRPr="00B13BFB" w:rsidRDefault="00B13BFB" w:rsidP="00B13BFB">
      <w:pPr>
        <w:widowControl w:val="0"/>
        <w:tabs>
          <w:tab w:val="left" w:pos="397"/>
        </w:tabs>
        <w:autoSpaceDE w:val="0"/>
        <w:autoSpaceDN w:val="0"/>
        <w:ind w:right="610"/>
        <w:rPr>
          <w:rFonts w:ascii="Arial" w:hAnsi="Arial" w:cs="Arial"/>
          <w:b/>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b/>
          <w:sz w:val="16"/>
          <w:szCs w:val="16"/>
        </w:rPr>
        <w:t>9.16.</w:t>
      </w:r>
      <w:r w:rsidRPr="00B13BFB">
        <w:rPr>
          <w:rFonts w:ascii="Arial" w:hAnsi="Arial" w:cs="Arial"/>
          <w:sz w:val="16"/>
          <w:szCs w:val="16"/>
        </w:rPr>
        <w:t xml:space="preserve"> A sanção será obrigatoriamente registrada no Sistema de Cadastramento </w:t>
      </w:r>
      <w:proofErr w:type="spellStart"/>
      <w:r w:rsidRPr="00B13BFB">
        <w:rPr>
          <w:rFonts w:ascii="Arial" w:hAnsi="Arial" w:cs="Arial"/>
          <w:sz w:val="16"/>
          <w:szCs w:val="16"/>
        </w:rPr>
        <w:t>Uniﬁcado</w:t>
      </w:r>
      <w:proofErr w:type="spellEnd"/>
      <w:r w:rsidRPr="00B13BFB">
        <w:rPr>
          <w:rFonts w:ascii="Arial" w:hAnsi="Arial" w:cs="Arial"/>
          <w:sz w:val="16"/>
          <w:szCs w:val="16"/>
        </w:rPr>
        <w:t xml:space="preserve"> de Fornecedores – SICAF, bem como em sistemas Estaduais;</w:t>
      </w:r>
    </w:p>
    <w:p w:rsidR="00B13BFB" w:rsidRPr="00B13BFB" w:rsidRDefault="00B13BFB" w:rsidP="00B13BFB">
      <w:pPr>
        <w:widowControl w:val="0"/>
        <w:tabs>
          <w:tab w:val="left" w:pos="397"/>
        </w:tabs>
        <w:autoSpaceDE w:val="0"/>
        <w:autoSpaceDN w:val="0"/>
        <w:ind w:right="610"/>
        <w:rPr>
          <w:rFonts w:ascii="Arial" w:hAnsi="Arial" w:cs="Arial"/>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b/>
          <w:sz w:val="16"/>
          <w:szCs w:val="16"/>
        </w:rPr>
        <w:t>9.17.</w:t>
      </w:r>
      <w:r w:rsidRPr="00B13BFB">
        <w:rPr>
          <w:rFonts w:ascii="Arial" w:hAnsi="Arial" w:cs="Arial"/>
          <w:sz w:val="16"/>
          <w:szCs w:val="16"/>
        </w:rPr>
        <w:t xml:space="preserve"> Também </w:t>
      </w:r>
      <w:proofErr w:type="spellStart"/>
      <w:r w:rsidRPr="00B13BFB">
        <w:rPr>
          <w:rFonts w:ascii="Arial" w:hAnsi="Arial" w:cs="Arial"/>
          <w:sz w:val="16"/>
          <w:szCs w:val="16"/>
        </w:rPr>
        <w:t>ﬁcam</w:t>
      </w:r>
      <w:proofErr w:type="spellEnd"/>
      <w:r w:rsidRPr="00B13BFB">
        <w:rPr>
          <w:rFonts w:ascii="Arial" w:hAnsi="Arial" w:cs="Arial"/>
          <w:sz w:val="16"/>
          <w:szCs w:val="16"/>
        </w:rPr>
        <w:t xml:space="preserve"> sujeitas às penalidades de suspensão de licitar e impedimento de contratar com o órgão licitante e de declaração de inidoneidade, previstas no subitem anterior, as empresas ou </w:t>
      </w:r>
      <w:proofErr w:type="spellStart"/>
      <w:r w:rsidRPr="00B13BFB">
        <w:rPr>
          <w:rFonts w:ascii="Arial" w:hAnsi="Arial" w:cs="Arial"/>
          <w:sz w:val="16"/>
          <w:szCs w:val="16"/>
        </w:rPr>
        <w:t>proﬁssionais</w:t>
      </w:r>
      <w:proofErr w:type="spellEnd"/>
      <w:r w:rsidRPr="00B13BFB">
        <w:rPr>
          <w:rFonts w:ascii="Arial" w:hAnsi="Arial" w:cs="Arial"/>
          <w:sz w:val="16"/>
          <w:szCs w:val="16"/>
        </w:rPr>
        <w:t xml:space="preserve"> que, em razão do contrato decorrente:</w:t>
      </w:r>
    </w:p>
    <w:p w:rsidR="00B13BFB" w:rsidRDefault="00B13BFB" w:rsidP="00B13BFB">
      <w:pPr>
        <w:widowControl w:val="0"/>
        <w:tabs>
          <w:tab w:val="left" w:pos="397"/>
        </w:tabs>
        <w:autoSpaceDE w:val="0"/>
        <w:autoSpaceDN w:val="0"/>
        <w:ind w:right="610"/>
        <w:rPr>
          <w:rFonts w:ascii="Arial" w:hAnsi="Arial" w:cs="Arial"/>
          <w:sz w:val="16"/>
          <w:szCs w:val="16"/>
        </w:rPr>
      </w:pP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sz w:val="16"/>
          <w:szCs w:val="16"/>
        </w:rPr>
        <w:t xml:space="preserve">a) Tenham sofrido condenações </w:t>
      </w:r>
      <w:proofErr w:type="spellStart"/>
      <w:r w:rsidRPr="00B13BFB">
        <w:rPr>
          <w:rFonts w:ascii="Arial" w:hAnsi="Arial" w:cs="Arial"/>
          <w:sz w:val="16"/>
          <w:szCs w:val="16"/>
        </w:rPr>
        <w:t>deﬁnitivas</w:t>
      </w:r>
      <w:proofErr w:type="spellEnd"/>
      <w:r w:rsidRPr="00B13BFB">
        <w:rPr>
          <w:rFonts w:ascii="Arial" w:hAnsi="Arial" w:cs="Arial"/>
          <w:sz w:val="16"/>
          <w:szCs w:val="16"/>
        </w:rPr>
        <w:t xml:space="preserve"> por praticarem, por meio dolosos, fraude </w:t>
      </w:r>
      <w:proofErr w:type="spellStart"/>
      <w:r w:rsidRPr="00B13BFB">
        <w:rPr>
          <w:rFonts w:ascii="Arial" w:hAnsi="Arial" w:cs="Arial"/>
          <w:sz w:val="16"/>
          <w:szCs w:val="16"/>
        </w:rPr>
        <w:t>ﬁscal</w:t>
      </w:r>
      <w:proofErr w:type="spellEnd"/>
      <w:r w:rsidRPr="00B13BFB">
        <w:rPr>
          <w:rFonts w:ascii="Arial" w:hAnsi="Arial" w:cs="Arial"/>
          <w:sz w:val="16"/>
          <w:szCs w:val="16"/>
        </w:rPr>
        <w:t xml:space="preserve"> no recolhimento de tributos;</w:t>
      </w:r>
    </w:p>
    <w:p w:rsidR="00B13BFB" w:rsidRPr="00B13BFB"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sz w:val="16"/>
          <w:szCs w:val="16"/>
        </w:rPr>
        <w:t>b) Tenham praticado atos ilícitos visando a frustrar os objetivos da licitação;</w:t>
      </w:r>
    </w:p>
    <w:p w:rsidR="00DF79A2" w:rsidRDefault="00B13BFB" w:rsidP="00B13BFB">
      <w:pPr>
        <w:widowControl w:val="0"/>
        <w:tabs>
          <w:tab w:val="left" w:pos="397"/>
        </w:tabs>
        <w:autoSpaceDE w:val="0"/>
        <w:autoSpaceDN w:val="0"/>
        <w:ind w:right="610"/>
        <w:rPr>
          <w:rFonts w:ascii="Arial" w:hAnsi="Arial" w:cs="Arial"/>
          <w:sz w:val="16"/>
          <w:szCs w:val="16"/>
        </w:rPr>
      </w:pPr>
      <w:r w:rsidRPr="00B13BFB">
        <w:rPr>
          <w:rFonts w:ascii="Arial" w:hAnsi="Arial" w:cs="Arial"/>
          <w:sz w:val="16"/>
          <w:szCs w:val="16"/>
        </w:rPr>
        <w:t>c) Demonstrem não possuir idoneidade para contratar com a Administração em virtude de atos ilícitos praticados.</w:t>
      </w:r>
    </w:p>
    <w:p w:rsidR="00DF79A2" w:rsidRDefault="00DF79A2" w:rsidP="00426F5F">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DF35FB" w:rsidP="00063355">
      <w:pPr>
        <w:ind w:right="60"/>
        <w:jc w:val="both"/>
        <w:rPr>
          <w:rFonts w:ascii="Arial" w:hAnsi="Arial" w:cs="Arial"/>
          <w:color w:val="000000"/>
          <w:sz w:val="16"/>
          <w:szCs w:val="16"/>
        </w:rPr>
      </w:pPr>
      <w:r w:rsidRPr="00063355">
        <w:rPr>
          <w:rFonts w:ascii="Arial" w:hAnsi="Arial" w:cs="Arial"/>
          <w:b/>
          <w:sz w:val="16"/>
          <w:szCs w:val="16"/>
        </w:rPr>
        <w:t>S</w:t>
      </w:r>
      <w:r w:rsidR="00063355" w:rsidRPr="00063355">
        <w:rPr>
          <w:rFonts w:ascii="Arial" w:hAnsi="Arial" w:cs="Arial"/>
          <w:b/>
          <w:sz w:val="16"/>
          <w:szCs w:val="16"/>
        </w:rPr>
        <w:t>UGESP</w:t>
      </w:r>
      <w:r w:rsidR="00063355" w:rsidRPr="00063355">
        <w:rPr>
          <w:rFonts w:ascii="Arial" w:hAnsi="Arial" w:cs="Arial"/>
          <w:sz w:val="16"/>
          <w:szCs w:val="16"/>
        </w:rPr>
        <w:t xml:space="preserve"> - </w:t>
      </w:r>
      <w:r w:rsidR="00063355" w:rsidRPr="00063355">
        <w:rPr>
          <w:rFonts w:ascii="Arial" w:hAnsi="Arial" w:cs="Arial"/>
          <w:color w:val="000000"/>
          <w:sz w:val="16"/>
          <w:szCs w:val="16"/>
        </w:rPr>
        <w:t>Superintendência de Gestão dos Gastos Públicos Administrativos.</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72061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9A2" w:rsidRDefault="00DF79A2">
      <w:r>
        <w:separator/>
      </w:r>
    </w:p>
  </w:endnote>
  <w:endnote w:type="continuationSeparator" w:id="0">
    <w:p w:rsidR="00DF79A2" w:rsidRDefault="00DF79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9A2" w:rsidRDefault="00DF79A2">
      <w:r>
        <w:separator/>
      </w:r>
    </w:p>
  </w:footnote>
  <w:footnote w:type="continuationSeparator" w:id="0">
    <w:p w:rsidR="00DF79A2" w:rsidRDefault="00DF79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468F"/>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7D69"/>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43BE65-FC80-45CC-B47E-2FD8B507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3533</Words>
  <Characters>19081</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2018-05-16T14:10:00Z</cp:lastPrinted>
  <dcterms:created xsi:type="dcterms:W3CDTF">2018-10-31T17:22:00Z</dcterms:created>
  <dcterms:modified xsi:type="dcterms:W3CDTF">2018-11-06T15:10:00Z</dcterms:modified>
</cp:coreProperties>
</file>