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5E7945">
        <w:rPr>
          <w:rFonts w:ascii="Arial" w:hAnsi="Arial" w:cs="Arial"/>
          <w:b/>
          <w:sz w:val="16"/>
          <w:szCs w:val="16"/>
        </w:rPr>
        <w:t>217</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E22B10">
        <w:rPr>
          <w:rFonts w:ascii="Arial" w:hAnsi="Arial" w:cs="Arial"/>
          <w:b/>
          <w:bCs/>
          <w:sz w:val="16"/>
          <w:szCs w:val="16"/>
        </w:rPr>
        <w:t>3</w:t>
      </w:r>
      <w:r w:rsidR="005E7945">
        <w:rPr>
          <w:rFonts w:ascii="Arial" w:hAnsi="Arial" w:cs="Arial"/>
          <w:b/>
          <w:bCs/>
          <w:sz w:val="16"/>
          <w:szCs w:val="16"/>
        </w:rPr>
        <w:t>48</w:t>
      </w:r>
      <w:r w:rsidR="005925DA">
        <w:rPr>
          <w:rFonts w:ascii="Arial" w:hAnsi="Arial" w:cs="Arial"/>
          <w:b/>
          <w:bCs/>
          <w:sz w:val="16"/>
          <w:szCs w:val="16"/>
        </w:rPr>
        <w:t>/201</w:t>
      </w:r>
      <w:r w:rsidR="005E7945">
        <w:rPr>
          <w:rFonts w:ascii="Arial" w:hAnsi="Arial" w:cs="Arial"/>
          <w:b/>
          <w:bCs/>
          <w:sz w:val="16"/>
          <w:szCs w:val="16"/>
        </w:rPr>
        <w:t>8</w:t>
      </w:r>
    </w:p>
    <w:p w:rsidR="00BE2572" w:rsidRPr="009D74B3" w:rsidRDefault="009D2314" w:rsidP="005E7945">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5E7945" w:rsidRPr="005E7945">
        <w:rPr>
          <w:rFonts w:ascii="Arial" w:hAnsi="Arial" w:cs="Arial"/>
          <w:b/>
          <w:bCs/>
          <w:sz w:val="16"/>
          <w:szCs w:val="16"/>
        </w:rPr>
        <w:t>0049.132868/2018-59</w:t>
      </w:r>
    </w:p>
    <w:p w:rsidR="009D2314" w:rsidRPr="00766492" w:rsidRDefault="002E300A" w:rsidP="00E22B10">
      <w:pPr>
        <w:ind w:right="-1"/>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E71AC7">
        <w:rPr>
          <w:rFonts w:ascii="Arial" w:hAnsi="Arial" w:cs="Arial"/>
          <w:b/>
          <w:color w:val="000000" w:themeColor="text1"/>
          <w:sz w:val="16"/>
          <w:szCs w:val="16"/>
        </w:rPr>
        <w:t xml:space="preserve"> </w:t>
      </w:r>
      <w:r w:rsidR="00E22B10" w:rsidRPr="00E22B10">
        <w:rPr>
          <w:rFonts w:ascii="Arial" w:hAnsi="Arial" w:cs="Arial"/>
          <w:color w:val="000000" w:themeColor="text1"/>
          <w:sz w:val="16"/>
          <w:szCs w:val="16"/>
        </w:rPr>
        <w:t>para futura e eventual Contratação</w:t>
      </w:r>
      <w:r w:rsidR="00FF62E4">
        <w:rPr>
          <w:rFonts w:ascii="Arial" w:hAnsi="Arial" w:cs="Arial"/>
          <w:color w:val="000000" w:themeColor="text1"/>
          <w:sz w:val="16"/>
          <w:szCs w:val="16"/>
        </w:rPr>
        <w:t xml:space="preserve"> </w:t>
      </w:r>
      <w:r w:rsidR="005E7945" w:rsidRPr="00FF62E4">
        <w:rPr>
          <w:rFonts w:ascii="Arial" w:hAnsi="Arial" w:cs="Arial"/>
          <w:color w:val="000000" w:themeColor="text1"/>
          <w:sz w:val="16"/>
          <w:szCs w:val="16"/>
        </w:rPr>
        <w:t>de empresa especializada no fornecimento de </w:t>
      </w:r>
      <w:r w:rsidR="005E7945" w:rsidRPr="002D39B8">
        <w:rPr>
          <w:rFonts w:ascii="Arial" w:hAnsi="Arial" w:cs="Arial"/>
          <w:bCs/>
          <w:color w:val="000000" w:themeColor="text1"/>
          <w:sz w:val="16"/>
          <w:szCs w:val="16"/>
        </w:rPr>
        <w:t>Artigos Médicos Hospitalares do serviço de Hemodinâmica constantes na Tabela SUS</w:t>
      </w:r>
      <w:r w:rsidR="00E22B10" w:rsidRPr="00E22B10">
        <w:rPr>
          <w:rFonts w:ascii="Arial" w:hAnsi="Arial" w:cs="Arial"/>
          <w:color w:val="000000" w:themeColor="text1"/>
          <w:sz w:val="16"/>
          <w:szCs w:val="16"/>
        </w:rPr>
        <w:t>,</w:t>
      </w:r>
      <w:r w:rsidR="00E22B10">
        <w:rPr>
          <w:rFonts w:ascii="Arial" w:hAnsi="Arial" w:cs="Arial"/>
          <w:color w:val="000000" w:themeColor="text1"/>
          <w:sz w:val="16"/>
          <w:szCs w:val="16"/>
        </w:rPr>
        <w:t xml:space="preserve"> a pedido da Secretaria de Estado da Saúde – SESAU</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54202E" w:rsidRDefault="007F65D5" w:rsidP="00137C8A">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w:t>
      </w:r>
      <w:r w:rsidR="00137C8A">
        <w:rPr>
          <w:rFonts w:ascii="Arial" w:hAnsi="Arial" w:cs="Arial"/>
          <w:color w:val="000000" w:themeColor="text1"/>
          <w:sz w:val="16"/>
          <w:szCs w:val="16"/>
        </w:rPr>
        <w:t xml:space="preserve"> </w:t>
      </w:r>
      <w:r w:rsidR="00E22B10" w:rsidRPr="00E22B10">
        <w:rPr>
          <w:rFonts w:ascii="Arial" w:hAnsi="Arial" w:cs="Arial"/>
          <w:color w:val="000000" w:themeColor="text1"/>
          <w:sz w:val="16"/>
          <w:szCs w:val="16"/>
        </w:rPr>
        <w:t xml:space="preserve">para futura e eventual </w:t>
      </w:r>
      <w:bookmarkStart w:id="1" w:name="_GoBack"/>
      <w:bookmarkEnd w:id="1"/>
      <w:r w:rsidR="00FF62E4" w:rsidRPr="00E22B10">
        <w:rPr>
          <w:rFonts w:ascii="Arial" w:hAnsi="Arial" w:cs="Arial"/>
          <w:color w:val="000000" w:themeColor="text1"/>
          <w:sz w:val="16"/>
          <w:szCs w:val="16"/>
        </w:rPr>
        <w:t>Contratação</w:t>
      </w:r>
      <w:r w:rsidR="00FF62E4">
        <w:rPr>
          <w:rFonts w:ascii="Arial" w:hAnsi="Arial" w:cs="Arial"/>
          <w:color w:val="000000" w:themeColor="text1"/>
          <w:sz w:val="16"/>
          <w:szCs w:val="16"/>
        </w:rPr>
        <w:t xml:space="preserve"> </w:t>
      </w:r>
      <w:r w:rsidR="00FF62E4" w:rsidRPr="00FF62E4">
        <w:rPr>
          <w:rFonts w:ascii="Arial" w:hAnsi="Arial" w:cs="Arial"/>
          <w:color w:val="000000" w:themeColor="text1"/>
          <w:sz w:val="16"/>
          <w:szCs w:val="16"/>
        </w:rPr>
        <w:t>de empresa especializada no fornecimento de </w:t>
      </w:r>
      <w:r w:rsidR="00FF62E4" w:rsidRPr="00FF62E4">
        <w:rPr>
          <w:rFonts w:ascii="Arial" w:hAnsi="Arial" w:cs="Arial"/>
          <w:bCs/>
          <w:color w:val="000000" w:themeColor="text1"/>
          <w:sz w:val="16"/>
          <w:szCs w:val="16"/>
        </w:rPr>
        <w:t>Artigos Médicos Hospitalares do serviço de Hemodinâmica constantes na Tabela SUS</w:t>
      </w:r>
      <w:r w:rsidR="00FF62E4" w:rsidRPr="00E22B10">
        <w:rPr>
          <w:rFonts w:ascii="Arial" w:hAnsi="Arial" w:cs="Arial"/>
          <w:color w:val="000000" w:themeColor="text1"/>
          <w:sz w:val="16"/>
          <w:szCs w:val="16"/>
        </w:rPr>
        <w:t>,</w:t>
      </w:r>
      <w:r w:rsidR="00FF62E4">
        <w:rPr>
          <w:rFonts w:ascii="Arial" w:hAnsi="Arial" w:cs="Arial"/>
          <w:color w:val="000000" w:themeColor="text1"/>
          <w:sz w:val="16"/>
          <w:szCs w:val="16"/>
        </w:rPr>
        <w:t xml:space="preserve"> a pedido da Secretaria de Estado da Saúde – </w:t>
      </w:r>
      <w:proofErr w:type="gramStart"/>
      <w:r w:rsidR="00FF62E4">
        <w:rPr>
          <w:rFonts w:ascii="Arial" w:hAnsi="Arial" w:cs="Arial"/>
          <w:color w:val="000000" w:themeColor="text1"/>
          <w:sz w:val="16"/>
          <w:szCs w:val="16"/>
        </w:rPr>
        <w:t>SESAU</w:t>
      </w:r>
      <w:proofErr w:type="gramEnd"/>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D6ADF" w:rsidRPr="006D6ADF" w:rsidRDefault="00206244" w:rsidP="006D6ADF">
      <w:pPr>
        <w:jc w:val="both"/>
        <w:rPr>
          <w:rFonts w:ascii="Arial" w:hAnsi="Arial" w:cs="Arial"/>
          <w:sz w:val="16"/>
          <w:szCs w:val="16"/>
        </w:rPr>
      </w:pPr>
      <w:r w:rsidRPr="00362674">
        <w:rPr>
          <w:rFonts w:ascii="Arial" w:hAnsi="Arial" w:cs="Arial"/>
          <w:b/>
          <w:sz w:val="16"/>
          <w:szCs w:val="16"/>
        </w:rPr>
        <w:t>6.3. DO PRAZO DE ENTREGA</w:t>
      </w:r>
      <w:r w:rsidR="00A55D1F" w:rsidRPr="00362674">
        <w:rPr>
          <w:rFonts w:ascii="Arial" w:hAnsi="Arial" w:cs="Arial"/>
          <w:sz w:val="16"/>
          <w:szCs w:val="16"/>
        </w:rPr>
        <w:t xml:space="preserve">: </w:t>
      </w:r>
      <w:r w:rsidR="006D6ADF" w:rsidRPr="006D6ADF">
        <w:rPr>
          <w:rFonts w:ascii="Arial" w:hAnsi="Arial" w:cs="Arial"/>
          <w:sz w:val="16"/>
          <w:szCs w:val="16"/>
        </w:rPr>
        <w:t>A primeira entrega dos materiais deverá ocorrer </w:t>
      </w:r>
      <w:r w:rsidR="006D6ADF" w:rsidRPr="006D6ADF">
        <w:rPr>
          <w:rFonts w:ascii="Arial" w:hAnsi="Arial" w:cs="Arial"/>
          <w:b/>
          <w:bCs/>
          <w:sz w:val="16"/>
          <w:szCs w:val="16"/>
        </w:rPr>
        <w:t>conforme solicitação da Unidade de Saúde</w:t>
      </w:r>
      <w:r w:rsidR="006D6ADF" w:rsidRPr="006D6ADF">
        <w:rPr>
          <w:rFonts w:ascii="Arial" w:hAnsi="Arial" w:cs="Arial"/>
          <w:sz w:val="16"/>
          <w:szCs w:val="16"/>
        </w:rPr>
        <w:t>,  com indicação do quantitativo, </w:t>
      </w:r>
      <w:r w:rsidR="006D6ADF" w:rsidRPr="006D6ADF">
        <w:rPr>
          <w:rFonts w:ascii="Arial" w:hAnsi="Arial" w:cs="Arial"/>
          <w:b/>
          <w:bCs/>
          <w:sz w:val="16"/>
          <w:szCs w:val="16"/>
        </w:rPr>
        <w:t>no prazo máximo de 30 dias</w:t>
      </w:r>
      <w:r w:rsidR="006D6ADF" w:rsidRPr="006D6ADF">
        <w:rPr>
          <w:rFonts w:ascii="Arial" w:hAnsi="Arial" w:cs="Arial"/>
          <w:sz w:val="16"/>
          <w:szCs w:val="16"/>
        </w:rPr>
        <w:t xml:space="preserve"> após emissão da nota de empenho/assinatura do termo contratual, de acordo com as especificações descritas no anexo I. As entregas serão parceladas </w:t>
      </w:r>
      <w:proofErr w:type="gramStart"/>
      <w:r w:rsidR="006D6ADF" w:rsidRPr="006D6ADF">
        <w:rPr>
          <w:rFonts w:ascii="Arial" w:hAnsi="Arial" w:cs="Arial"/>
          <w:sz w:val="16"/>
          <w:szCs w:val="16"/>
        </w:rPr>
        <w:t>na medida que</w:t>
      </w:r>
      <w:proofErr w:type="gramEnd"/>
      <w:r w:rsidR="006D6ADF" w:rsidRPr="006D6ADF">
        <w:rPr>
          <w:rFonts w:ascii="Arial" w:hAnsi="Arial" w:cs="Arial"/>
          <w:sz w:val="16"/>
          <w:szCs w:val="16"/>
        </w:rPr>
        <w:t xml:space="preserve"> forem sendo solicitadas pela Unidade, as quais deverão ser entregues </w:t>
      </w:r>
      <w:r w:rsidR="006D6ADF" w:rsidRPr="006D6ADF">
        <w:rPr>
          <w:rFonts w:ascii="Arial" w:hAnsi="Arial" w:cs="Arial"/>
          <w:b/>
          <w:bCs/>
          <w:sz w:val="16"/>
          <w:szCs w:val="16"/>
        </w:rPr>
        <w:t>no prazo máximo de 8 (oito) dias</w:t>
      </w:r>
      <w:r w:rsidR="006D6ADF" w:rsidRPr="006D6ADF">
        <w:rPr>
          <w:rFonts w:ascii="Arial" w:hAnsi="Arial" w:cs="Arial"/>
          <w:sz w:val="16"/>
          <w:szCs w:val="16"/>
        </w:rPr>
        <w:t xml:space="preserve">, no CAF II, conforme descrito no item 4.2. </w:t>
      </w:r>
      <w:proofErr w:type="gramStart"/>
      <w:r w:rsidR="006D6ADF">
        <w:rPr>
          <w:rFonts w:ascii="Arial" w:hAnsi="Arial" w:cs="Arial"/>
          <w:sz w:val="16"/>
          <w:szCs w:val="16"/>
        </w:rPr>
        <w:t>do</w:t>
      </w:r>
      <w:proofErr w:type="gramEnd"/>
      <w:r w:rsidR="006D6ADF">
        <w:rPr>
          <w:rFonts w:ascii="Arial" w:hAnsi="Arial" w:cs="Arial"/>
          <w:sz w:val="16"/>
          <w:szCs w:val="16"/>
        </w:rPr>
        <w:t xml:space="preserve"> TR, </w:t>
      </w:r>
      <w:r w:rsidR="006D6ADF" w:rsidRPr="006D6ADF">
        <w:rPr>
          <w:rFonts w:ascii="Arial" w:hAnsi="Arial" w:cs="Arial"/>
          <w:sz w:val="16"/>
          <w:szCs w:val="16"/>
        </w:rPr>
        <w:t>O prazo deverá ser cumprido na íntegra para que não haja paralisação nos serviços e atrasos nas escalas de cirurgias.</w:t>
      </w:r>
    </w:p>
    <w:p w:rsidR="00D7163F" w:rsidRDefault="00766492" w:rsidP="006D6ADF">
      <w:pPr>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766492">
        <w:rPr>
          <w:rFonts w:ascii="Arial" w:hAnsi="Arial" w:cs="Arial"/>
          <w:sz w:val="16"/>
          <w:szCs w:val="16"/>
        </w:rPr>
        <w:t xml:space="preserve"> </w:t>
      </w:r>
      <w:r w:rsidR="00206244" w:rsidRPr="00766492">
        <w:rPr>
          <w:rFonts w:ascii="Arial" w:hAnsi="Arial" w:cs="Arial"/>
          <w:b/>
          <w:sz w:val="16"/>
          <w:szCs w:val="16"/>
        </w:rPr>
        <w:t>DO LOCAL DE ENTREGA:</w:t>
      </w:r>
      <w:r w:rsidR="00206244" w:rsidRPr="00766492">
        <w:rPr>
          <w:rFonts w:ascii="Arial" w:hAnsi="Arial" w:cs="Arial"/>
          <w:sz w:val="16"/>
          <w:szCs w:val="16"/>
        </w:rPr>
        <w:t xml:space="preserve"> </w:t>
      </w:r>
      <w:r w:rsidR="006D6ADF" w:rsidRPr="006D6ADF">
        <w:rPr>
          <w:rFonts w:ascii="Arial" w:hAnsi="Arial" w:cs="Arial"/>
          <w:sz w:val="16"/>
          <w:szCs w:val="16"/>
        </w:rPr>
        <w:t xml:space="preserve">A entrega dos materiais deverá ser efetuada na Central de Abastecimento farmacêutico – CAF II: Rua: Aparício de Morais nº. </w:t>
      </w:r>
      <w:proofErr w:type="gramStart"/>
      <w:r w:rsidR="006D6ADF" w:rsidRPr="006D6ADF">
        <w:rPr>
          <w:rFonts w:ascii="Arial" w:hAnsi="Arial" w:cs="Arial"/>
          <w:sz w:val="16"/>
          <w:szCs w:val="16"/>
        </w:rPr>
        <w:t>4378 Bairro - Setor Industrial, -</w:t>
      </w:r>
      <w:proofErr w:type="gramEnd"/>
      <w:r w:rsidR="006D6ADF" w:rsidRPr="006D6ADF">
        <w:rPr>
          <w:rFonts w:ascii="Arial" w:hAnsi="Arial" w:cs="Arial"/>
          <w:sz w:val="16"/>
          <w:szCs w:val="16"/>
        </w:rPr>
        <w:t xml:space="preserve"> Telefone: (69) 3216–5759 - Porto Velho, Rondônia. O expediente é de segunda a sexta </w:t>
      </w:r>
      <w:r w:rsidR="006D6ADF" w:rsidRPr="006D6ADF">
        <w:rPr>
          <w:rFonts w:ascii="Arial" w:hAnsi="Arial" w:cs="Arial"/>
          <w:b/>
          <w:bCs/>
          <w:sz w:val="16"/>
          <w:szCs w:val="16"/>
        </w:rPr>
        <w:t xml:space="preserve">das </w:t>
      </w:r>
      <w:proofErr w:type="gramStart"/>
      <w:r w:rsidR="006D6ADF" w:rsidRPr="006D6ADF">
        <w:rPr>
          <w:rFonts w:ascii="Arial" w:hAnsi="Arial" w:cs="Arial"/>
          <w:b/>
          <w:bCs/>
          <w:sz w:val="16"/>
          <w:szCs w:val="16"/>
        </w:rPr>
        <w:t>7:30</w:t>
      </w:r>
      <w:proofErr w:type="gramEnd"/>
      <w:r w:rsidR="006D6ADF" w:rsidRPr="006D6ADF">
        <w:rPr>
          <w:rFonts w:ascii="Arial" w:hAnsi="Arial" w:cs="Arial"/>
          <w:b/>
          <w:bCs/>
          <w:sz w:val="16"/>
          <w:szCs w:val="16"/>
        </w:rPr>
        <w:t xml:space="preserve"> as 13:30 horas.</w:t>
      </w:r>
    </w:p>
    <w:p w:rsidR="00E22B10" w:rsidRPr="00C6385B" w:rsidRDefault="00E22B10"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5E7945" w:rsidRPr="005E7945" w:rsidRDefault="00362674" w:rsidP="005E7945">
      <w:pPr>
        <w:pStyle w:val="textojustificadorecuoprimeiralinha"/>
        <w:spacing w:before="0" w:beforeAutospacing="0" w:after="0" w:afterAutospacing="0"/>
        <w:jc w:val="both"/>
        <w:rPr>
          <w:rFonts w:ascii="Arial" w:hAnsi="Arial" w:cs="Arial"/>
          <w:sz w:val="16"/>
          <w:szCs w:val="16"/>
        </w:rPr>
      </w:pPr>
      <w:r w:rsidRPr="00362674">
        <w:rPr>
          <w:rFonts w:ascii="Arial" w:hAnsi="Arial" w:cs="Arial"/>
          <w:b/>
          <w:sz w:val="16"/>
          <w:szCs w:val="16"/>
        </w:rPr>
        <w:t>9.1.</w:t>
      </w:r>
      <w:r w:rsidRPr="00362674">
        <w:rPr>
          <w:rFonts w:ascii="Arial" w:hAnsi="Arial" w:cs="Arial"/>
          <w:sz w:val="16"/>
          <w:szCs w:val="16"/>
        </w:rPr>
        <w:t xml:space="preserve"> </w:t>
      </w:r>
      <w:r w:rsidR="005E7945" w:rsidRPr="005E7945">
        <w:rPr>
          <w:rFonts w:ascii="Arial" w:hAnsi="Arial" w:cs="Arial"/>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r w:rsidRPr="005E7945">
        <w:rPr>
          <w:rFonts w:ascii="Arial" w:hAnsi="Arial" w:cs="Arial"/>
          <w:sz w:val="16"/>
          <w:szCs w:val="16"/>
        </w:rPr>
        <w:t>a) Advertência, por escrito, sempre que forem constatadas falhas na execução dos serviços;</w:t>
      </w: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r w:rsidRPr="005E7945">
        <w:rPr>
          <w:rFonts w:ascii="Arial" w:hAnsi="Arial" w:cs="Arial"/>
          <w:sz w:val="16"/>
          <w:szCs w:val="16"/>
        </w:rPr>
        <w:t>b) Multa, conforme descrito na tabela 01, até o 30º (trigésimo) dia de atraso no cumprimento das obrigações;</w:t>
      </w: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r w:rsidRPr="005E7945">
        <w:rPr>
          <w:rFonts w:ascii="Arial" w:hAnsi="Arial" w:cs="Arial"/>
          <w:sz w:val="16"/>
          <w:szCs w:val="16"/>
        </w:rPr>
        <w:t>c) Multa de 10 % (dez por cento) do valor total contratado, a partir do 31º (trigésimo primeiro dia) de atraso, o que ensejará a rescisão contratual;</w:t>
      </w: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r w:rsidRPr="005E7945">
        <w:rPr>
          <w:rFonts w:ascii="Arial" w:hAnsi="Arial" w:cs="Arial"/>
          <w:sz w:val="16"/>
          <w:szCs w:val="16"/>
        </w:rPr>
        <w:t xml:space="preserve">d) Suspensão temporária de participação em licitação e impedimento de contratar com a Administração por prazo não superior a </w:t>
      </w:r>
      <w:proofErr w:type="gramStart"/>
      <w:r w:rsidRPr="005E7945">
        <w:rPr>
          <w:rFonts w:ascii="Arial" w:hAnsi="Arial" w:cs="Arial"/>
          <w:sz w:val="16"/>
          <w:szCs w:val="16"/>
        </w:rPr>
        <w:t>02 (dois) anos, de acordo com o Art. 87, inciso III da Lei nº</w:t>
      </w:r>
      <w:proofErr w:type="gramEnd"/>
      <w:r w:rsidRPr="005E7945">
        <w:rPr>
          <w:rFonts w:ascii="Arial" w:hAnsi="Arial" w:cs="Arial"/>
          <w:sz w:val="16"/>
          <w:szCs w:val="16"/>
        </w:rPr>
        <w:t xml:space="preserve"> 8.666/93;</w:t>
      </w: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r w:rsidRPr="005E7945">
        <w:rPr>
          <w:rFonts w:ascii="Arial" w:hAnsi="Arial" w:cs="Arial"/>
          <w:sz w:val="16"/>
          <w:szCs w:val="16"/>
        </w:rPr>
        <w:t>e) Declaração de Inidoneidade para licitar ou contratar com a União, Estados, Distrito Federal ou Municípios, com fulcro no Art. 7, IV, da Lei Federal nº 10.520/2002, quando a CONTRATADA deixar de cumprir as obrigações assumidas, praticando falta grave, dolosa ou revestida de má-fé.</w:t>
      </w:r>
    </w:p>
    <w:p w:rsidR="005E7945" w:rsidRPr="005E7945" w:rsidRDefault="005E7945" w:rsidP="005E7945">
      <w:pPr>
        <w:pStyle w:val="textojustificadorecuoprimeiralinha"/>
        <w:spacing w:before="0" w:beforeAutospacing="0" w:after="0" w:afterAutospacing="0"/>
        <w:jc w:val="both"/>
        <w:rPr>
          <w:rFonts w:ascii="Arial" w:hAnsi="Arial" w:cs="Arial"/>
          <w:b/>
          <w:bCs/>
          <w:sz w:val="16"/>
          <w:szCs w:val="16"/>
        </w:rPr>
      </w:pP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Pr="005E7945">
        <w:rPr>
          <w:rFonts w:ascii="Arial" w:hAnsi="Arial" w:cs="Arial"/>
          <w:b/>
          <w:bCs/>
          <w:sz w:val="16"/>
          <w:szCs w:val="16"/>
        </w:rPr>
        <w:t>.2 </w:t>
      </w:r>
      <w:r w:rsidRPr="005E7945">
        <w:rPr>
          <w:rFonts w:ascii="Arial" w:hAnsi="Arial" w:cs="Arial"/>
          <w:sz w:val="16"/>
          <w:szCs w:val="16"/>
        </w:rPr>
        <w:t>Para efeito de aplicação de multas, às infrações são atribuídos graus, com percentuais de multa conforme a tabela a seguir:</w:t>
      </w: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r w:rsidRPr="005E7945">
        <w:rPr>
          <w:rFonts w:ascii="Arial" w:hAnsi="Arial" w:cs="Arial"/>
          <w:sz w:val="16"/>
          <w:szCs w:val="16"/>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87"/>
        <w:gridCol w:w="7477"/>
        <w:gridCol w:w="1330"/>
        <w:gridCol w:w="1679"/>
      </w:tblGrid>
      <w:tr w:rsidR="005E7945" w:rsidRPr="005E7945" w:rsidTr="005E7945">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ITEM</w:t>
            </w:r>
          </w:p>
        </w:tc>
        <w:tc>
          <w:tcPr>
            <w:tcW w:w="3407"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DESCRIÇÃO DA INFRAÇÃO</w:t>
            </w:r>
          </w:p>
        </w:tc>
        <w:tc>
          <w:tcPr>
            <w:tcW w:w="606"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GRAU</w:t>
            </w:r>
          </w:p>
        </w:tc>
        <w:tc>
          <w:tcPr>
            <w:tcW w:w="764"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MULTA*</w:t>
            </w:r>
          </w:p>
        </w:tc>
      </w:tr>
      <w:tr w:rsidR="005E7945" w:rsidRPr="005E7945" w:rsidTr="005E7945">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proofErr w:type="gramStart"/>
            <w:r w:rsidRPr="005E7945">
              <w:rPr>
                <w:rFonts w:ascii="Arial" w:hAnsi="Arial" w:cs="Arial"/>
                <w:b/>
                <w:bCs/>
                <w:sz w:val="16"/>
                <w:szCs w:val="16"/>
              </w:rPr>
              <w:t>1</w:t>
            </w:r>
            <w:proofErr w:type="gramEnd"/>
          </w:p>
        </w:tc>
        <w:tc>
          <w:tcPr>
            <w:tcW w:w="3407"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sz w:val="16"/>
                <w:szCs w:val="16"/>
              </w:rPr>
              <w:t>Permitir situação que crie a possibilidade ou cause dano físico, lesão corporal ou consequências letais;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06</w:t>
            </w:r>
          </w:p>
        </w:tc>
        <w:tc>
          <w:tcPr>
            <w:tcW w:w="764"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4,0% por dia</w:t>
            </w:r>
          </w:p>
        </w:tc>
      </w:tr>
      <w:tr w:rsidR="005E7945" w:rsidRPr="005E7945" w:rsidTr="005E7945">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proofErr w:type="gramStart"/>
            <w:r w:rsidRPr="005E7945">
              <w:rPr>
                <w:rFonts w:ascii="Arial" w:hAnsi="Arial" w:cs="Arial"/>
                <w:b/>
                <w:bCs/>
                <w:sz w:val="16"/>
                <w:szCs w:val="16"/>
              </w:rPr>
              <w:t>2</w:t>
            </w:r>
            <w:proofErr w:type="gramEnd"/>
          </w:p>
        </w:tc>
        <w:tc>
          <w:tcPr>
            <w:tcW w:w="3407"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sz w:val="16"/>
                <w:szCs w:val="16"/>
              </w:rPr>
              <w:t xml:space="preserve">Usar indevidamente informações sigilosas a que teve acesso; por </w:t>
            </w:r>
            <w:proofErr w:type="spellStart"/>
            <w:r w:rsidRPr="005E7945">
              <w:rPr>
                <w:rFonts w:ascii="Arial" w:hAnsi="Arial" w:cs="Arial"/>
                <w:sz w:val="16"/>
                <w:szCs w:val="16"/>
              </w:rPr>
              <w:t>ocorrencia</w:t>
            </w:r>
            <w:proofErr w:type="spellEnd"/>
            <w:r w:rsidRPr="005E7945">
              <w:rPr>
                <w:rFonts w:ascii="Arial" w:hAnsi="Arial" w:cs="Arial"/>
                <w:sz w:val="16"/>
                <w:szCs w:val="16"/>
              </w:rPr>
              <w:t>.</w:t>
            </w:r>
          </w:p>
        </w:tc>
        <w:tc>
          <w:tcPr>
            <w:tcW w:w="606"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06</w:t>
            </w:r>
          </w:p>
        </w:tc>
        <w:tc>
          <w:tcPr>
            <w:tcW w:w="764"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4,0% por dia</w:t>
            </w:r>
          </w:p>
        </w:tc>
      </w:tr>
      <w:tr w:rsidR="005E7945" w:rsidRPr="005E7945" w:rsidTr="005E7945">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proofErr w:type="gramStart"/>
            <w:r w:rsidRPr="005E7945">
              <w:rPr>
                <w:rFonts w:ascii="Arial" w:hAnsi="Arial" w:cs="Arial"/>
                <w:b/>
                <w:bCs/>
                <w:sz w:val="16"/>
                <w:szCs w:val="16"/>
              </w:rPr>
              <w:t>3</w:t>
            </w:r>
            <w:proofErr w:type="gramEnd"/>
          </w:p>
        </w:tc>
        <w:tc>
          <w:tcPr>
            <w:tcW w:w="3407"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sz w:val="16"/>
                <w:szCs w:val="16"/>
              </w:rPr>
              <w:t>Recusar-se a entregar os bens determinado pela FISCALIZAÇÃO, sem motivo justificado;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04</w:t>
            </w:r>
          </w:p>
        </w:tc>
        <w:tc>
          <w:tcPr>
            <w:tcW w:w="764"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1,6% por dia</w:t>
            </w:r>
          </w:p>
        </w:tc>
      </w:tr>
      <w:tr w:rsidR="005E7945" w:rsidRPr="005E7945" w:rsidTr="005E7945">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proofErr w:type="gramStart"/>
            <w:r w:rsidRPr="005E7945">
              <w:rPr>
                <w:rFonts w:ascii="Arial" w:hAnsi="Arial" w:cs="Arial"/>
                <w:b/>
                <w:bCs/>
                <w:sz w:val="16"/>
                <w:szCs w:val="16"/>
              </w:rPr>
              <w:t>4</w:t>
            </w:r>
            <w:proofErr w:type="gramEnd"/>
          </w:p>
        </w:tc>
        <w:tc>
          <w:tcPr>
            <w:tcW w:w="3407"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sz w:val="16"/>
                <w:szCs w:val="16"/>
              </w:rPr>
              <w:t>Realizar entrega incompleta, paliativo substitutivo como por caráter permanente, ou deixar de providenciar recomposição complementar;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02</w:t>
            </w:r>
          </w:p>
        </w:tc>
        <w:tc>
          <w:tcPr>
            <w:tcW w:w="764"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0,4% por dia</w:t>
            </w:r>
          </w:p>
        </w:tc>
      </w:tr>
      <w:tr w:rsidR="005E7945" w:rsidRPr="005E7945" w:rsidTr="005E7945">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proofErr w:type="gramStart"/>
            <w:r w:rsidRPr="005E7945">
              <w:rPr>
                <w:rFonts w:ascii="Arial" w:hAnsi="Arial" w:cs="Arial"/>
                <w:b/>
                <w:bCs/>
                <w:sz w:val="16"/>
                <w:szCs w:val="16"/>
              </w:rPr>
              <w:t>5</w:t>
            </w:r>
            <w:proofErr w:type="gramEnd"/>
          </w:p>
        </w:tc>
        <w:tc>
          <w:tcPr>
            <w:tcW w:w="3407"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sz w:val="16"/>
                <w:szCs w:val="16"/>
              </w:rPr>
              <w:t>Fornecer informação pérfida quanto ao objeto ou substituição de material;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02</w:t>
            </w:r>
          </w:p>
        </w:tc>
        <w:tc>
          <w:tcPr>
            <w:tcW w:w="764"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0,4% por dia</w:t>
            </w:r>
          </w:p>
        </w:tc>
      </w:tr>
      <w:tr w:rsidR="005E7945" w:rsidRPr="005E7945" w:rsidTr="005E7945">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Para os itens a seguir, deixar de:</w:t>
            </w:r>
          </w:p>
        </w:tc>
      </w:tr>
      <w:tr w:rsidR="005E7945" w:rsidRPr="005E7945" w:rsidTr="005E7945">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proofErr w:type="gramStart"/>
            <w:r w:rsidRPr="005E7945">
              <w:rPr>
                <w:rFonts w:ascii="Arial" w:hAnsi="Arial" w:cs="Arial"/>
                <w:b/>
                <w:bCs/>
                <w:sz w:val="16"/>
                <w:szCs w:val="16"/>
              </w:rPr>
              <w:t>6</w:t>
            </w:r>
            <w:proofErr w:type="gramEnd"/>
          </w:p>
        </w:tc>
        <w:tc>
          <w:tcPr>
            <w:tcW w:w="3407"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sz w:val="16"/>
                <w:szCs w:val="16"/>
              </w:rPr>
              <w:t>Efetuar reposição de materiais danificados, por motivo e por dia;</w:t>
            </w:r>
          </w:p>
        </w:tc>
        <w:tc>
          <w:tcPr>
            <w:tcW w:w="606"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04</w:t>
            </w:r>
          </w:p>
        </w:tc>
        <w:tc>
          <w:tcPr>
            <w:tcW w:w="764"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1,6% por dia</w:t>
            </w:r>
          </w:p>
        </w:tc>
      </w:tr>
      <w:tr w:rsidR="005E7945" w:rsidRPr="005E7945" w:rsidTr="005E7945">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proofErr w:type="gramStart"/>
            <w:r w:rsidRPr="005E7945">
              <w:rPr>
                <w:rFonts w:ascii="Arial" w:hAnsi="Arial" w:cs="Arial"/>
                <w:b/>
                <w:bCs/>
                <w:sz w:val="16"/>
                <w:szCs w:val="16"/>
              </w:rPr>
              <w:t>7</w:t>
            </w:r>
            <w:proofErr w:type="gramEnd"/>
          </w:p>
        </w:tc>
        <w:tc>
          <w:tcPr>
            <w:tcW w:w="3407"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03</w:t>
            </w:r>
          </w:p>
        </w:tc>
        <w:tc>
          <w:tcPr>
            <w:tcW w:w="764"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0,8% por dia</w:t>
            </w:r>
          </w:p>
        </w:tc>
      </w:tr>
      <w:tr w:rsidR="005E7945" w:rsidRPr="005E7945" w:rsidTr="005E7945">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proofErr w:type="gramStart"/>
            <w:r w:rsidRPr="005E7945">
              <w:rPr>
                <w:rFonts w:ascii="Arial" w:hAnsi="Arial" w:cs="Arial"/>
                <w:b/>
                <w:bCs/>
                <w:sz w:val="16"/>
                <w:szCs w:val="16"/>
              </w:rPr>
              <w:t>8</w:t>
            </w:r>
            <w:proofErr w:type="gramEnd"/>
          </w:p>
        </w:tc>
        <w:tc>
          <w:tcPr>
            <w:tcW w:w="3407"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sz w:val="16"/>
                <w:szCs w:val="16"/>
              </w:rPr>
              <w:t>Cumprir determinação formal ou instrução complementar da FISCALIZAÇÃO,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03</w:t>
            </w:r>
          </w:p>
        </w:tc>
        <w:tc>
          <w:tcPr>
            <w:tcW w:w="764"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0,8% por dia</w:t>
            </w:r>
          </w:p>
        </w:tc>
      </w:tr>
      <w:tr w:rsidR="005E7945" w:rsidRPr="005E7945" w:rsidTr="005E7945">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proofErr w:type="gramStart"/>
            <w:r w:rsidRPr="005E7945">
              <w:rPr>
                <w:rFonts w:ascii="Arial" w:hAnsi="Arial" w:cs="Arial"/>
                <w:b/>
                <w:bCs/>
                <w:sz w:val="16"/>
                <w:szCs w:val="16"/>
              </w:rPr>
              <w:t>9</w:t>
            </w:r>
            <w:proofErr w:type="gramEnd"/>
          </w:p>
        </w:tc>
        <w:tc>
          <w:tcPr>
            <w:tcW w:w="3407"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sz w:val="16"/>
                <w:szCs w:val="16"/>
              </w:rPr>
              <w:t>Iniciar a entrega dos materiais permanentes nos prazos estabelecidos, observados os limites mínimos estabelecidos no Termo de Referência;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02</w:t>
            </w:r>
          </w:p>
        </w:tc>
        <w:tc>
          <w:tcPr>
            <w:tcW w:w="764"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0,4% por dia</w:t>
            </w:r>
          </w:p>
        </w:tc>
      </w:tr>
      <w:tr w:rsidR="005E7945" w:rsidRPr="005E7945" w:rsidTr="005E7945">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10</w:t>
            </w:r>
          </w:p>
        </w:tc>
        <w:tc>
          <w:tcPr>
            <w:tcW w:w="3407"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sz w:val="16"/>
                <w:szCs w:val="16"/>
              </w:rPr>
              <w:t>Manter a documentação de habilitação atualizada; por item, por ocorrência.</w:t>
            </w:r>
          </w:p>
        </w:tc>
        <w:tc>
          <w:tcPr>
            <w:tcW w:w="606"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01</w:t>
            </w:r>
          </w:p>
        </w:tc>
        <w:tc>
          <w:tcPr>
            <w:tcW w:w="764"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0,2% por dia</w:t>
            </w:r>
          </w:p>
        </w:tc>
      </w:tr>
      <w:tr w:rsidR="005E7945" w:rsidRPr="005E7945" w:rsidTr="005E7945">
        <w:trPr>
          <w:tblCellSpacing w:w="0" w:type="dxa"/>
        </w:trPr>
        <w:tc>
          <w:tcPr>
            <w:tcW w:w="222"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11</w:t>
            </w:r>
          </w:p>
        </w:tc>
        <w:tc>
          <w:tcPr>
            <w:tcW w:w="3407"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sz w:val="16"/>
                <w:szCs w:val="16"/>
              </w:rPr>
              <w:t>Fornecer suporte técnico à Contratante, por ocorrência e por dia.</w:t>
            </w:r>
          </w:p>
        </w:tc>
        <w:tc>
          <w:tcPr>
            <w:tcW w:w="606"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01</w:t>
            </w:r>
          </w:p>
        </w:tc>
        <w:tc>
          <w:tcPr>
            <w:tcW w:w="764" w:type="pct"/>
            <w:tcBorders>
              <w:top w:val="outset" w:sz="6" w:space="0" w:color="auto"/>
              <w:left w:val="outset" w:sz="6" w:space="0" w:color="auto"/>
              <w:bottom w:val="outset" w:sz="6" w:space="0" w:color="auto"/>
              <w:right w:val="outset" w:sz="6" w:space="0" w:color="auto"/>
            </w:tcBorders>
            <w:vAlign w:val="center"/>
            <w:hideMark/>
          </w:tcPr>
          <w:p w:rsidR="005E7945" w:rsidRPr="005E7945" w:rsidRDefault="005E7945" w:rsidP="005E7945">
            <w:pPr>
              <w:pStyle w:val="tabelatextocentralizado"/>
              <w:spacing w:before="0" w:beforeAutospacing="0" w:after="0" w:afterAutospacing="0"/>
              <w:jc w:val="both"/>
              <w:rPr>
                <w:rFonts w:ascii="Arial" w:hAnsi="Arial" w:cs="Arial"/>
                <w:sz w:val="16"/>
                <w:szCs w:val="16"/>
              </w:rPr>
            </w:pPr>
            <w:r w:rsidRPr="005E7945">
              <w:rPr>
                <w:rFonts w:ascii="Arial" w:hAnsi="Arial" w:cs="Arial"/>
                <w:b/>
                <w:bCs/>
                <w:sz w:val="16"/>
                <w:szCs w:val="16"/>
              </w:rPr>
              <w:t>0,2% por dia</w:t>
            </w:r>
          </w:p>
        </w:tc>
      </w:tr>
    </w:tbl>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r w:rsidRPr="005E7945">
        <w:rPr>
          <w:rFonts w:ascii="Arial" w:hAnsi="Arial" w:cs="Arial"/>
          <w:b/>
          <w:bCs/>
          <w:sz w:val="16"/>
          <w:szCs w:val="16"/>
        </w:rPr>
        <w:t>* Incidente sobre o valor mensal do contrato.</w:t>
      </w: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r w:rsidRPr="005E7945">
        <w:rPr>
          <w:rFonts w:ascii="Arial" w:hAnsi="Arial" w:cs="Arial"/>
          <w:sz w:val="16"/>
          <w:szCs w:val="16"/>
        </w:rPr>
        <w:t> </w:t>
      </w: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Pr="005E7945">
        <w:rPr>
          <w:rFonts w:ascii="Arial" w:hAnsi="Arial" w:cs="Arial"/>
          <w:b/>
          <w:bCs/>
          <w:sz w:val="16"/>
          <w:szCs w:val="16"/>
        </w:rPr>
        <w:t>.3</w:t>
      </w:r>
      <w:r w:rsidRPr="005E7945">
        <w:rPr>
          <w:rFonts w:ascii="Arial" w:hAnsi="Arial" w:cs="Arial"/>
          <w:sz w:val="16"/>
          <w:szCs w:val="16"/>
        </w:rPr>
        <w:t> As sanções aqui previstas poderão ser aplicadas concomitantemente, facultada a defesa prévia do interessado, no respectivo processo, no prazo de 05 (cinco) dias úteis.</w:t>
      </w:r>
    </w:p>
    <w:p w:rsidR="005E7945" w:rsidRPr="005E7945" w:rsidRDefault="005E7945" w:rsidP="005E7945">
      <w:pPr>
        <w:pStyle w:val="textojustificadorecuoprimeiralinha"/>
        <w:spacing w:before="0" w:beforeAutospacing="0" w:after="0" w:afterAutospacing="0"/>
        <w:jc w:val="both"/>
        <w:rPr>
          <w:rFonts w:ascii="Arial" w:hAnsi="Arial" w:cs="Arial"/>
          <w:b/>
          <w:bCs/>
          <w:sz w:val="16"/>
          <w:szCs w:val="16"/>
        </w:rPr>
      </w:pP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Pr="005E7945">
        <w:rPr>
          <w:rFonts w:ascii="Arial" w:hAnsi="Arial" w:cs="Arial"/>
          <w:b/>
          <w:bCs/>
          <w:sz w:val="16"/>
          <w:szCs w:val="16"/>
        </w:rPr>
        <w:t>.4</w:t>
      </w:r>
      <w:r w:rsidRPr="005E7945">
        <w:rPr>
          <w:rFonts w:ascii="Arial" w:hAnsi="Arial" w:cs="Arial"/>
          <w:sz w:val="16"/>
          <w:szCs w:val="16"/>
        </w:rPr>
        <w:t> Após 30 (trinta) dias da falta de execução do objeto, será considerada inexecução total do contrato, o que ensejará a rescisão contratual.</w:t>
      </w:r>
    </w:p>
    <w:p w:rsidR="005E7945" w:rsidRPr="005E7945" w:rsidRDefault="005E7945" w:rsidP="005E7945">
      <w:pPr>
        <w:pStyle w:val="textojustificadorecuoprimeiralinha"/>
        <w:spacing w:before="0" w:beforeAutospacing="0" w:after="0" w:afterAutospacing="0"/>
        <w:jc w:val="both"/>
        <w:rPr>
          <w:rFonts w:ascii="Arial" w:hAnsi="Arial" w:cs="Arial"/>
          <w:b/>
          <w:bCs/>
          <w:sz w:val="16"/>
          <w:szCs w:val="16"/>
        </w:rPr>
      </w:pP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r>
        <w:rPr>
          <w:rFonts w:ascii="Arial" w:hAnsi="Arial" w:cs="Arial"/>
          <w:b/>
          <w:bCs/>
          <w:sz w:val="16"/>
          <w:szCs w:val="16"/>
        </w:rPr>
        <w:t>9</w:t>
      </w:r>
      <w:r w:rsidRPr="005E7945">
        <w:rPr>
          <w:rFonts w:ascii="Arial" w:hAnsi="Arial" w:cs="Arial"/>
          <w:b/>
          <w:bCs/>
          <w:sz w:val="16"/>
          <w:szCs w:val="16"/>
        </w:rPr>
        <w:t>.5</w:t>
      </w:r>
      <w:r w:rsidRPr="005E7945">
        <w:rPr>
          <w:rFonts w:ascii="Arial" w:hAnsi="Arial" w:cs="Arial"/>
          <w:sz w:val="16"/>
          <w:szCs w:val="16"/>
        </w:rPr>
        <w:t> As sanções de natureza pecuniária serão diretamente descontadas de créditos que eventualmente detenha a CONTRATADA ou efetuada a sua cobrança na forma prevista em lei.</w:t>
      </w:r>
    </w:p>
    <w:p w:rsidR="005E7945" w:rsidRPr="005E7945" w:rsidRDefault="005E7945" w:rsidP="005E7945">
      <w:pPr>
        <w:pStyle w:val="textojustificadorecuoprimeiralinha"/>
        <w:spacing w:before="0" w:beforeAutospacing="0" w:after="0" w:afterAutospacing="0"/>
        <w:jc w:val="both"/>
        <w:rPr>
          <w:rFonts w:ascii="Arial" w:hAnsi="Arial" w:cs="Arial"/>
          <w:b/>
          <w:bCs/>
          <w:sz w:val="16"/>
          <w:szCs w:val="16"/>
        </w:rPr>
      </w:pPr>
    </w:p>
    <w:p w:rsidR="005E7945" w:rsidRPr="005E7945" w:rsidRDefault="005E7945" w:rsidP="005E7945">
      <w:pPr>
        <w:pStyle w:val="textojustificadorecuoprimeiralinha"/>
        <w:spacing w:before="0" w:beforeAutospacing="0" w:after="0" w:afterAutospacing="0"/>
        <w:jc w:val="both"/>
        <w:rPr>
          <w:rFonts w:ascii="Arial" w:hAnsi="Arial" w:cs="Arial"/>
          <w:sz w:val="16"/>
          <w:szCs w:val="16"/>
        </w:rPr>
      </w:pPr>
      <w:r w:rsidRPr="005E7945">
        <w:rPr>
          <w:rFonts w:ascii="Arial" w:hAnsi="Arial" w:cs="Arial"/>
          <w:b/>
          <w:bCs/>
          <w:sz w:val="16"/>
          <w:szCs w:val="16"/>
        </w:rPr>
        <w:t>9.6</w:t>
      </w:r>
      <w:r w:rsidRPr="005E7945">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5E7945" w:rsidRPr="005E7945" w:rsidRDefault="005E7945" w:rsidP="005E7945">
      <w:pPr>
        <w:pStyle w:val="textojustificadorecuoprimeiralinha"/>
        <w:spacing w:before="0" w:beforeAutospacing="0" w:after="0" w:afterAutospacing="0"/>
        <w:jc w:val="both"/>
        <w:rPr>
          <w:rFonts w:ascii="Arial" w:hAnsi="Arial" w:cs="Arial"/>
          <w:b/>
          <w:bCs/>
          <w:sz w:val="16"/>
          <w:szCs w:val="16"/>
        </w:rPr>
      </w:pPr>
    </w:p>
    <w:p w:rsidR="00E97174" w:rsidRDefault="005E7945" w:rsidP="005E7945">
      <w:pPr>
        <w:suppressAutoHyphens/>
        <w:spacing w:line="100" w:lineRule="atLeast"/>
        <w:ind w:right="47"/>
        <w:jc w:val="both"/>
        <w:rPr>
          <w:rFonts w:ascii="Arial" w:hAnsi="Arial" w:cs="Arial"/>
          <w:sz w:val="16"/>
          <w:szCs w:val="16"/>
        </w:rPr>
      </w:pPr>
      <w:r w:rsidRPr="005E7945">
        <w:rPr>
          <w:rFonts w:ascii="Arial" w:hAnsi="Arial" w:cs="Arial"/>
          <w:b/>
          <w:sz w:val="16"/>
          <w:szCs w:val="16"/>
        </w:rPr>
        <w:t>9.7</w:t>
      </w:r>
      <w:r w:rsidRPr="005E7945">
        <w:rPr>
          <w:rFonts w:ascii="Arial" w:hAnsi="Arial" w:cs="Arial"/>
          <w:sz w:val="16"/>
          <w:szCs w:val="16"/>
        </w:rPr>
        <w:t>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5E7945" w:rsidRPr="00D7163F" w:rsidRDefault="005E7945" w:rsidP="005E7945">
      <w:pPr>
        <w:suppressAutoHyphens/>
        <w:spacing w:line="100" w:lineRule="atLeast"/>
        <w:ind w:right="47"/>
        <w:jc w:val="both"/>
        <w:rPr>
          <w:rFonts w:ascii="Arial" w:hAnsi="Arial" w:cs="Arial"/>
          <w:sz w:val="16"/>
          <w:szCs w:val="16"/>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Pr="009A54D1"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lastRenderedPageBreak/>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97174" w:rsidRDefault="00A55D1F" w:rsidP="00E97174">
      <w:pPr>
        <w:jc w:val="both"/>
        <w:rPr>
          <w:rFonts w:ascii="Arial" w:hAnsi="Arial" w:cs="Arial"/>
          <w:bCs/>
          <w:sz w:val="16"/>
          <w:szCs w:val="16"/>
        </w:rPr>
      </w:pPr>
    </w:p>
    <w:p w:rsidR="00A55D1F" w:rsidRPr="00EF7CDA" w:rsidRDefault="00362674" w:rsidP="009D2314">
      <w:pPr>
        <w:jc w:val="both"/>
        <w:rPr>
          <w:rFonts w:ascii="Arial" w:hAnsi="Arial" w:cs="Arial"/>
          <w:bCs/>
          <w:sz w:val="16"/>
          <w:szCs w:val="16"/>
        </w:rPr>
      </w:pPr>
      <w:r>
        <w:rPr>
          <w:rFonts w:ascii="Arial" w:hAnsi="Arial" w:cs="Arial"/>
          <w:bCs/>
          <w:sz w:val="16"/>
          <w:szCs w:val="16"/>
        </w:rPr>
        <w:t>SESAU</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sidR="00E97174">
        <w:rPr>
          <w:rFonts w:ascii="Arial" w:hAnsi="Arial" w:cs="Arial"/>
          <w:bCs/>
          <w:sz w:val="16"/>
          <w:szCs w:val="16"/>
        </w:rPr>
        <w:t xml:space="preserve">Secretaria de Estado da </w:t>
      </w:r>
      <w:r>
        <w:rPr>
          <w:rFonts w:ascii="Arial" w:hAnsi="Arial" w:cs="Arial"/>
          <w:bCs/>
          <w:sz w:val="16"/>
          <w:szCs w:val="16"/>
        </w:rPr>
        <w:t>Saúde</w:t>
      </w:r>
      <w:r w:rsidR="00E97174"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FF62E4"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ADF" w:rsidRDefault="006D6ADF">
      <w:r>
        <w:separator/>
      </w:r>
    </w:p>
  </w:endnote>
  <w:endnote w:type="continuationSeparator" w:id="0">
    <w:p w:rsidR="006D6ADF" w:rsidRDefault="006D6A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ADF" w:rsidRDefault="006D6ADF">
      <w:r>
        <w:separator/>
      </w:r>
    </w:p>
  </w:footnote>
  <w:footnote w:type="continuationSeparator" w:id="0">
    <w:p w:rsidR="006D6ADF" w:rsidRDefault="006D6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ADF" w:rsidRDefault="006D6AD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4"/>
    <w:lvlOverride w:ilvl="0">
      <w:startOverride w:val="3"/>
    </w:lvlOverride>
  </w:num>
  <w:num w:numId="4">
    <w:abstractNumId w:val="16"/>
    <w:lvlOverride w:ilvl="0">
      <w:startOverride w:val="4"/>
    </w:lvlOverride>
  </w:num>
  <w:num w:numId="5">
    <w:abstractNumId w:val="15"/>
    <w:lvlOverride w:ilvl="0">
      <w:startOverride w:val="5"/>
    </w:lvlOverride>
  </w:num>
  <w:num w:numId="6">
    <w:abstractNumId w:val="8"/>
    <w:lvlOverride w:ilvl="0">
      <w:startOverride w:val="6"/>
    </w:lvlOverride>
  </w:num>
  <w:num w:numId="7">
    <w:abstractNumId w:val="6"/>
    <w:lvlOverride w:ilvl="0">
      <w:startOverride w:val="7"/>
    </w:lvlOverride>
  </w:num>
  <w:num w:numId="8">
    <w:abstractNumId w:val="12"/>
    <w:lvlOverride w:ilvl="0">
      <w:startOverride w:val="8"/>
    </w:lvlOverride>
  </w:num>
  <w:num w:numId="9">
    <w:abstractNumId w:val="21"/>
    <w:lvlOverride w:ilvl="0">
      <w:startOverride w:val="9"/>
    </w:lvlOverride>
  </w:num>
  <w:num w:numId="10">
    <w:abstractNumId w:val="18"/>
    <w:lvlOverride w:ilvl="0">
      <w:startOverride w:val="10"/>
    </w:lvlOverride>
  </w:num>
  <w:num w:numId="11">
    <w:abstractNumId w:val="5"/>
    <w:lvlOverride w:ilvl="0">
      <w:startOverride w:val="11"/>
    </w:lvlOverride>
  </w:num>
  <w:num w:numId="12">
    <w:abstractNumId w:val="14"/>
  </w:num>
  <w:num w:numId="13">
    <w:abstractNumId w:val="23"/>
  </w:num>
  <w:num w:numId="14">
    <w:abstractNumId w:val="20"/>
  </w:num>
  <w:num w:numId="15">
    <w:abstractNumId w:val="17"/>
  </w:num>
  <w:num w:numId="16">
    <w:abstractNumId w:val="19"/>
    <w:lvlOverride w:ilvl="0">
      <w:startOverride w:val="2"/>
    </w:lvlOverride>
  </w:num>
  <w:num w:numId="17">
    <w:abstractNumId w:val="22"/>
    <w:lvlOverride w:ilvl="0">
      <w:startOverride w:val="3"/>
    </w:lvlOverride>
  </w:num>
  <w:num w:numId="18">
    <w:abstractNumId w:val="10"/>
    <w:lvlOverride w:ilvl="0">
      <w:startOverride w:val="4"/>
    </w:lvlOverride>
  </w:num>
  <w:num w:numId="19">
    <w:abstractNumId w:val="7"/>
    <w:lvlOverride w:ilvl="0">
      <w:startOverride w:val="5"/>
    </w:lvlOverride>
  </w:num>
  <w:num w:numId="20">
    <w:abstractNumId w:val="9"/>
    <w:lvlOverride w:ilvl="0">
      <w:startOverride w:val="6"/>
    </w:lvlOverride>
  </w:num>
  <w:num w:numId="21">
    <w:abstractNumId w:val="13"/>
    <w:lvlOverride w:ilvl="0">
      <w:startOverride w:val="7"/>
    </w:lvlOverride>
  </w:num>
  <w:num w:numId="22">
    <w:abstractNumId w:val="11"/>
    <w:lvlOverride w:ilvl="0">
      <w:startOverride w:val="8"/>
    </w:lvlOverride>
  </w:num>
  <w:num w:numId="23">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39B8"/>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2674"/>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02E"/>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E7945"/>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300A"/>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ADF"/>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1A00"/>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06E"/>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36B6E"/>
    <w:rsid w:val="00D41CB0"/>
    <w:rsid w:val="00D46B68"/>
    <w:rsid w:val="00D5545F"/>
    <w:rsid w:val="00D63A4B"/>
    <w:rsid w:val="00D63D6B"/>
    <w:rsid w:val="00D65B05"/>
    <w:rsid w:val="00D678C8"/>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2B10"/>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62E4"/>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character" w:styleId="Nmerodepgina">
    <w:name w:val="page number"/>
    <w:basedOn w:val="Fontepargpadro"/>
    <w:rsid w:val="00E22B10"/>
  </w:style>
  <w:style w:type="paragraph" w:customStyle="1" w:styleId="textojustificadorecuoprimeiralinha">
    <w:name w:val="texto_justificado_recuo_primeira_linha"/>
    <w:basedOn w:val="Normal"/>
    <w:rsid w:val="005E7945"/>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959464-BA11-4258-B447-52BF00113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2709</Words>
  <Characters>15068</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5</cp:revision>
  <cp:lastPrinted>2018-08-23T16:12:00Z</cp:lastPrinted>
  <dcterms:created xsi:type="dcterms:W3CDTF">2018-09-25T13:55:00Z</dcterms:created>
  <dcterms:modified xsi:type="dcterms:W3CDTF">2018-09-25T14:24:00Z</dcterms:modified>
</cp:coreProperties>
</file>