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C720FB">
        <w:rPr>
          <w:rFonts w:ascii="Arial" w:hAnsi="Arial" w:cs="Arial"/>
          <w:b/>
          <w:sz w:val="16"/>
          <w:szCs w:val="16"/>
        </w:rPr>
        <w:t>201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720FB">
        <w:rPr>
          <w:rFonts w:ascii="Arial" w:hAnsi="Arial" w:cs="Arial"/>
          <w:b/>
          <w:bCs/>
          <w:sz w:val="16"/>
          <w:szCs w:val="16"/>
        </w:rPr>
        <w:t>211</w:t>
      </w:r>
      <w:r w:rsidR="005925DA">
        <w:rPr>
          <w:rFonts w:ascii="Arial" w:hAnsi="Arial" w:cs="Arial"/>
          <w:b/>
          <w:bCs/>
          <w:sz w:val="16"/>
          <w:szCs w:val="16"/>
        </w:rPr>
        <w:t>/201</w:t>
      </w:r>
      <w:r w:rsidR="00C720FB">
        <w:rPr>
          <w:rFonts w:ascii="Arial" w:hAnsi="Arial" w:cs="Arial"/>
          <w:b/>
          <w:bCs/>
          <w:sz w:val="16"/>
          <w:szCs w:val="16"/>
        </w:rPr>
        <w:t>8</w:t>
      </w:r>
    </w:p>
    <w:p w:rsidR="00E22B10"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C720FB" w:rsidRPr="00C720FB">
        <w:rPr>
          <w:rFonts w:ascii="Arial" w:hAnsi="Arial" w:cs="Arial"/>
          <w:b/>
          <w:bCs/>
          <w:sz w:val="16"/>
          <w:szCs w:val="16"/>
        </w:rPr>
        <w:t>0029.020217/2017-74</w:t>
      </w:r>
    </w:p>
    <w:p w:rsidR="00BE2572" w:rsidRPr="009D74B3" w:rsidRDefault="00BE2572" w:rsidP="0081546B">
      <w:pPr>
        <w:ind w:firstLine="708"/>
        <w:jc w:val="both"/>
        <w:rPr>
          <w:rFonts w:ascii="Arial" w:hAnsi="Arial" w:cs="Arial"/>
          <w:b/>
          <w:bCs/>
          <w:sz w:val="16"/>
          <w:szCs w:val="16"/>
        </w:rPr>
      </w:pPr>
    </w:p>
    <w:p w:rsidR="009D2314" w:rsidRPr="00766492" w:rsidRDefault="002E300A" w:rsidP="00E22B10">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C720FB">
        <w:rPr>
          <w:rFonts w:ascii="Arial" w:hAnsi="Arial" w:cs="Arial"/>
          <w:b/>
          <w:color w:val="000000" w:themeColor="text1"/>
          <w:sz w:val="16"/>
          <w:szCs w:val="16"/>
        </w:rPr>
        <w:t xml:space="preserve"> </w:t>
      </w:r>
      <w:r w:rsidR="00C720FB" w:rsidRPr="00C720FB">
        <w:rPr>
          <w:rFonts w:ascii="Arial" w:hAnsi="Arial" w:cs="Arial"/>
          <w:color w:val="000000" w:themeColor="text1"/>
          <w:sz w:val="16"/>
          <w:szCs w:val="16"/>
        </w:rPr>
        <w:t>para contratação de locação de módulos de containers (tipo habitacionais) adaptados para sala de aula, sala de professores, cozinha, refeitório, almoxarifado e banheiros,</w:t>
      </w:r>
      <w:r w:rsidR="00C720FB">
        <w:rPr>
          <w:rFonts w:ascii="Arial" w:hAnsi="Arial" w:cs="Arial"/>
          <w:color w:val="000000" w:themeColor="text1"/>
          <w:sz w:val="16"/>
          <w:szCs w:val="16"/>
        </w:rPr>
        <w:t xml:space="preserve"> a pedido da Secretaria </w:t>
      </w:r>
      <w:r w:rsidR="00C720FB" w:rsidRPr="00C720FB">
        <w:rPr>
          <w:rFonts w:ascii="Arial" w:hAnsi="Arial" w:cs="Arial"/>
          <w:color w:val="000000" w:themeColor="text1"/>
          <w:sz w:val="16"/>
          <w:szCs w:val="16"/>
        </w:rPr>
        <w:t>de Estado da Educação – SEDUC</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54202E"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C720FB" w:rsidRPr="00C720FB">
        <w:rPr>
          <w:rFonts w:ascii="Arial" w:hAnsi="Arial" w:cs="Arial"/>
          <w:color w:val="000000" w:themeColor="text1"/>
          <w:sz w:val="16"/>
          <w:szCs w:val="16"/>
        </w:rPr>
        <w:t>para contratação de locação de módulos de containers (tipo habitacionais) adaptados para sala de aula, sala de professores, cozinha, refeitório, almoxarifado e banheiros,</w:t>
      </w:r>
      <w:r w:rsidR="00C720FB">
        <w:rPr>
          <w:rFonts w:ascii="Arial" w:hAnsi="Arial" w:cs="Arial"/>
          <w:color w:val="000000" w:themeColor="text1"/>
          <w:sz w:val="16"/>
          <w:szCs w:val="16"/>
        </w:rPr>
        <w:t xml:space="preserve"> a pedido da Secretaria </w:t>
      </w:r>
      <w:r w:rsidR="00C720FB" w:rsidRPr="00C720FB">
        <w:rPr>
          <w:rFonts w:ascii="Arial" w:hAnsi="Arial" w:cs="Arial"/>
          <w:color w:val="000000" w:themeColor="text1"/>
          <w:sz w:val="16"/>
          <w:szCs w:val="16"/>
        </w:rPr>
        <w:t>de Estado da Educação – SEDUC</w:t>
      </w:r>
      <w:r w:rsidR="00C720FB">
        <w:rPr>
          <w:rFonts w:ascii="Arial" w:hAnsi="Arial" w:cs="Arial"/>
          <w:color w:val="000000" w:themeColor="text1"/>
          <w:sz w:val="16"/>
          <w:szCs w:val="16"/>
        </w:rPr>
        <w:t>.</w:t>
      </w:r>
    </w:p>
    <w:p w:rsidR="00C720FB" w:rsidRDefault="00C720FB"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362674" w:rsidRPr="00362674" w:rsidRDefault="00206244" w:rsidP="00C720FB">
      <w:pPr>
        <w:jc w:val="both"/>
        <w:rPr>
          <w:rFonts w:ascii="Arial" w:hAnsi="Arial" w:cs="Arial"/>
          <w:sz w:val="16"/>
          <w:szCs w:val="16"/>
        </w:rPr>
      </w:pPr>
      <w:r w:rsidRPr="00362674">
        <w:rPr>
          <w:rFonts w:ascii="Arial" w:hAnsi="Arial" w:cs="Arial"/>
          <w:b/>
          <w:sz w:val="16"/>
          <w:szCs w:val="16"/>
        </w:rPr>
        <w:t>6.3. DO PRAZO DE ENTREGA</w:t>
      </w:r>
      <w:r w:rsidR="00A55D1F" w:rsidRPr="00C720FB">
        <w:rPr>
          <w:rFonts w:ascii="Arial" w:hAnsi="Arial" w:cs="Arial"/>
          <w:b/>
          <w:sz w:val="16"/>
          <w:szCs w:val="16"/>
        </w:rPr>
        <w:t>:</w:t>
      </w:r>
      <w:r w:rsidR="00A55D1F" w:rsidRPr="00362674">
        <w:rPr>
          <w:rFonts w:ascii="Arial" w:hAnsi="Arial" w:cs="Arial"/>
          <w:sz w:val="16"/>
          <w:szCs w:val="16"/>
        </w:rPr>
        <w:t xml:space="preserve"> </w:t>
      </w:r>
      <w:r w:rsidR="00C720FB" w:rsidRPr="00C720FB">
        <w:rPr>
          <w:rFonts w:ascii="Arial" w:hAnsi="Arial" w:cs="Arial"/>
          <w:sz w:val="16"/>
          <w:szCs w:val="16"/>
        </w:rPr>
        <w:t>Os módulos habitáveis tipo container deverão ser entregues e instalados, no prazo máximo de até 10 (dez) dias, a contar do recebimento da Ordem de Serviço e Nota de Empenho, na localidade especificada, devendo a instalação ser acordada previamente com a Assessoria Técnica de Infraestrutura - ASTECINFRAOBRAS/GAB/SEDUC, pelo telefone (69) 3216-5316.</w:t>
      </w:r>
    </w:p>
    <w:p w:rsidR="00D7163F" w:rsidRDefault="00766492" w:rsidP="00C720FB">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C720FB">
        <w:rPr>
          <w:rFonts w:ascii="Arial" w:hAnsi="Arial" w:cs="Arial"/>
          <w:b/>
          <w:sz w:val="16"/>
          <w:szCs w:val="16"/>
        </w:rPr>
        <w:t>:</w:t>
      </w:r>
      <w:r w:rsidR="00C720FB" w:rsidRPr="00C720FB">
        <w:t xml:space="preserve"> </w:t>
      </w:r>
      <w:r w:rsidR="00C720FB" w:rsidRPr="00C720FB">
        <w:rPr>
          <w:rFonts w:ascii="Arial" w:hAnsi="Arial" w:cs="Arial"/>
          <w:sz w:val="16"/>
          <w:szCs w:val="16"/>
        </w:rPr>
        <w:t>Os módulos habitáveis tipo container deverão ser entregues e instalados nos locais indicados no item 3.3, conforme discriminados no Quadro de Referência (0222297), mediante prévio agendamento junto a Assessoria Técnica de Infraestrutura – ASTECINFRAOBRAS/GAB/SEDUC, pelo telefone: (69) 3216-5316.</w:t>
      </w:r>
    </w:p>
    <w:p w:rsidR="00E22B10" w:rsidRPr="00C6385B" w:rsidRDefault="00E22B10"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w:t>
      </w:r>
      <w:r w:rsidR="00C720FB" w:rsidRPr="00C720FB">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w:t>
      </w:r>
      <w:r>
        <w:rPr>
          <w:rFonts w:ascii="Arial" w:hAnsi="Arial" w:cs="Arial"/>
          <w:sz w:val="16"/>
          <w:szCs w:val="16"/>
        </w:rPr>
        <w:t>9</w:t>
      </w:r>
      <w:r w:rsidR="00C720FB" w:rsidRPr="00C720FB">
        <w:rPr>
          <w:rFonts w:ascii="Arial" w:hAnsi="Arial" w:cs="Arial"/>
          <w:sz w:val="16"/>
          <w:szCs w:val="16"/>
        </w:rPr>
        <w:t xml:space="preserve">.10), sobre a parcela inadimplida do contrato.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.2.</w:t>
      </w:r>
      <w:r w:rsidR="00C720FB" w:rsidRPr="00C720FB">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.3.</w:t>
      </w:r>
      <w:r w:rsidR="00C720FB" w:rsidRPr="00C720FB">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00C720FB" w:rsidRPr="00C720FB">
        <w:rPr>
          <w:rFonts w:ascii="Arial" w:hAnsi="Arial" w:cs="Arial"/>
          <w:sz w:val="16"/>
          <w:szCs w:val="16"/>
        </w:rPr>
        <w:lastRenderedPageBreak/>
        <w:t xml:space="preserve">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.4.</w:t>
      </w:r>
      <w:r w:rsidR="00C720FB" w:rsidRPr="00C720FB">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.5.</w:t>
      </w:r>
      <w:r w:rsidR="00C720FB" w:rsidRPr="00C720FB">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.6.</w:t>
      </w:r>
      <w:r w:rsidR="00C720FB" w:rsidRPr="00C720FB">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.7.</w:t>
      </w:r>
      <w:r w:rsidR="00C720FB" w:rsidRPr="00C720FB">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C720FB" w:rsidRDefault="0012018B" w:rsidP="00D7163F">
      <w:pPr>
        <w:suppressAutoHyphens/>
        <w:spacing w:line="100" w:lineRule="atLeast"/>
        <w:ind w:right="47"/>
        <w:jc w:val="both"/>
      </w:pPr>
      <w:r w:rsidRPr="0012018B">
        <w:rPr>
          <w:rFonts w:ascii="Arial" w:hAnsi="Arial" w:cs="Arial"/>
          <w:b/>
          <w:sz w:val="16"/>
          <w:szCs w:val="16"/>
        </w:rPr>
        <w:t>9</w:t>
      </w:r>
      <w:r w:rsidR="00C720FB" w:rsidRPr="0012018B">
        <w:rPr>
          <w:rFonts w:ascii="Arial" w:hAnsi="Arial" w:cs="Arial"/>
          <w:b/>
          <w:sz w:val="16"/>
          <w:szCs w:val="16"/>
        </w:rPr>
        <w:t>.8.</w:t>
      </w:r>
      <w:r w:rsidR="00C720FB" w:rsidRPr="00C720FB">
        <w:rPr>
          <w:rFonts w:ascii="Arial" w:hAnsi="Arial" w:cs="Arial"/>
          <w:sz w:val="16"/>
          <w:szCs w:val="16"/>
        </w:rPr>
        <w:t xml:space="preserve"> São exemplos de infração administrativa penalizáveis, nos termos da Lei nº 8.666, de 1993, da Lei nº 10.520, de 2002, dos Decretos Estaduais nº 12.205/06, 12.234/06 (Pregão Eletrônico e Presencial):</w:t>
      </w:r>
      <w:r w:rsidR="00C720FB" w:rsidRPr="00C720FB">
        <w:t xml:space="preserve"> </w:t>
      </w:r>
    </w:p>
    <w:p w:rsidR="00C720F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 xml:space="preserve">a) Inexecução total ou parcial do contrato; </w:t>
      </w:r>
    </w:p>
    <w:p w:rsidR="00C720F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 xml:space="preserve">b) Apresentação de documentação falsa; </w:t>
      </w:r>
    </w:p>
    <w:p w:rsidR="00C720F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 xml:space="preserve">c) Comportamento inidôneo; </w:t>
      </w:r>
    </w:p>
    <w:p w:rsidR="00C720F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 xml:space="preserve">d) Fraude fiscal; </w:t>
      </w:r>
    </w:p>
    <w:p w:rsidR="0012018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e) Descumprimento de qualquer dos deveres elen</w:t>
      </w:r>
      <w:r w:rsidR="0012018B">
        <w:rPr>
          <w:rFonts w:ascii="Arial" w:hAnsi="Arial" w:cs="Arial"/>
          <w:sz w:val="16"/>
          <w:szCs w:val="16"/>
        </w:rPr>
        <w:t>cados no Edital ou no Contrato.</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.9.</w:t>
      </w:r>
      <w:r w:rsidR="00C720FB" w:rsidRPr="00C720FB">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E97174"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.10.</w:t>
      </w:r>
      <w:r w:rsidR="00C720FB" w:rsidRPr="00C720FB">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C720FB" w:rsidRDefault="00C720FB" w:rsidP="00D7163F">
      <w:pPr>
        <w:suppressAutoHyphens/>
        <w:spacing w:line="100" w:lineRule="atLeast"/>
        <w:ind w:right="47"/>
        <w:jc w:val="both"/>
        <w:rPr>
          <w:rFonts w:ascii="Arial" w:hAnsi="Arial" w:cs="Arial"/>
          <w:sz w:val="16"/>
          <w:szCs w:val="16"/>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3"/>
        <w:gridCol w:w="7181"/>
        <w:gridCol w:w="1087"/>
        <w:gridCol w:w="1716"/>
      </w:tblGrid>
      <w:tr w:rsidR="00C720FB" w:rsidRPr="00C720FB" w:rsidTr="00C720FB">
        <w:trPr>
          <w:trHeight w:val="165"/>
          <w:tblCellSpacing w:w="0" w:type="dxa"/>
          <w:jc w:val="center"/>
        </w:trPr>
        <w:tc>
          <w:tcPr>
            <w:tcW w:w="15915" w:type="dxa"/>
            <w:gridSpan w:val="4"/>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b/>
                <w:color w:val="000000"/>
                <w:sz w:val="16"/>
                <w:szCs w:val="16"/>
              </w:rPr>
            </w:pPr>
            <w:r w:rsidRPr="00C720FB">
              <w:rPr>
                <w:rFonts w:ascii="Arial" w:hAnsi="Arial" w:cs="Arial"/>
                <w:b/>
                <w:color w:val="000000"/>
                <w:sz w:val="16"/>
                <w:szCs w:val="16"/>
              </w:rPr>
              <w:t>TABELA DE MULTAS - SERVIÇOS</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b/>
                <w:color w:val="000000"/>
                <w:sz w:val="16"/>
                <w:szCs w:val="16"/>
              </w:rPr>
            </w:pPr>
            <w:r w:rsidRPr="00C720FB">
              <w:rPr>
                <w:rFonts w:ascii="Arial" w:hAnsi="Arial" w:cs="Arial"/>
                <w:b/>
                <w:color w:val="000000"/>
                <w:sz w:val="16"/>
                <w:szCs w:val="16"/>
              </w:rPr>
              <w:t>ITEM</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b/>
                <w:color w:val="000000"/>
                <w:sz w:val="16"/>
                <w:szCs w:val="16"/>
              </w:rPr>
            </w:pPr>
            <w:r w:rsidRPr="00C720FB">
              <w:rPr>
                <w:rFonts w:ascii="Arial" w:hAnsi="Arial" w:cs="Arial"/>
                <w:b/>
                <w:color w:val="000000"/>
                <w:sz w:val="16"/>
                <w:szCs w:val="16"/>
              </w:rPr>
              <w:t>DESCRIÇÃO DA INFRAÇÃO</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b/>
                <w:color w:val="000000"/>
                <w:sz w:val="16"/>
                <w:szCs w:val="16"/>
              </w:rPr>
            </w:pPr>
            <w:r w:rsidRPr="00C720FB">
              <w:rPr>
                <w:rFonts w:ascii="Arial" w:hAnsi="Arial" w:cs="Arial"/>
                <w:b/>
                <w:color w:val="000000"/>
                <w:sz w:val="16"/>
                <w:szCs w:val="16"/>
              </w:rPr>
              <w:t>GRAU</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b/>
                <w:color w:val="000000"/>
                <w:sz w:val="16"/>
                <w:szCs w:val="16"/>
              </w:rPr>
            </w:pPr>
            <w:r w:rsidRPr="00C720FB">
              <w:rPr>
                <w:rFonts w:ascii="Arial" w:hAnsi="Arial" w:cs="Arial"/>
                <w:b/>
                <w:color w:val="000000"/>
                <w:sz w:val="16"/>
                <w:szCs w:val="16"/>
              </w:rPr>
              <w:t>MULTA*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Permitir situação que cria possibilidade ou cause danos físico, lesão corporal ou consequências letais;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06</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4,0%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2</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Suspender ou interromper, salvo por motivo de força maior ou caso fortuito, os serviços contratuais por dia e por unidade de atendimento;</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05</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3,2 %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3</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Recusar-se a executar serviço determinado pela FISCALIZAÇÃO, sem motivo justificado;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04</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1,6 %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4</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Destruir ou danificar documentos por culpa ou dolo de seus agentes;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05</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3,2 %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5</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Executar serviço incompleto, paliativo substitutivo como por caráter permanente, ou deixar de providenciar recomposição complementar;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02</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0,4 %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6</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Inexecução total do contrato;</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10</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10 %</w:t>
            </w:r>
          </w:p>
        </w:tc>
      </w:tr>
      <w:tr w:rsidR="00C720FB" w:rsidRPr="00C720FB" w:rsidTr="00C720FB">
        <w:trPr>
          <w:trHeight w:val="165"/>
          <w:tblCellSpacing w:w="0" w:type="dxa"/>
          <w:jc w:val="center"/>
        </w:trPr>
        <w:tc>
          <w:tcPr>
            <w:tcW w:w="15915" w:type="dxa"/>
            <w:gridSpan w:val="4"/>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Para os Itens a seguir, deixar de:</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7</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05</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3,2 %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8</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03</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0,8 %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9</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Cumprir determinação formal ou instrução complementar da FISCALIZAÇÃO,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03</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0,8 %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10</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Iniciar execução de serviço nos prazos estabelecidos, observados os limites mínimo estabelecidos por este contrato; por serviço,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02</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0,4 %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11</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Ressarcir o órgão por eventuais danos causados por sua culpa;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02</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0,4 %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12</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Manter a documentação de habilitação atualizada; por item, por ocorrência;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01</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0,2 % por dia</w:t>
            </w:r>
          </w:p>
        </w:tc>
      </w:tr>
      <w:tr w:rsidR="00C720FB" w:rsidRPr="00C720FB" w:rsidTr="00C720FB">
        <w:trPr>
          <w:trHeight w:val="165"/>
          <w:tblCellSpacing w:w="0" w:type="dxa"/>
          <w:jc w:val="center"/>
        </w:trPr>
        <w:tc>
          <w:tcPr>
            <w:tcW w:w="124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13</w:t>
            </w:r>
          </w:p>
        </w:tc>
        <w:tc>
          <w:tcPr>
            <w:tcW w:w="10890"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Substituir funcionários que se conduza de modo inconveniente ou não atenda às necessidades do órgão, por funcionário, por dia;</w:t>
            </w:r>
          </w:p>
        </w:tc>
        <w:tc>
          <w:tcPr>
            <w:tcW w:w="142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01</w:t>
            </w:r>
          </w:p>
        </w:tc>
        <w:tc>
          <w:tcPr>
            <w:tcW w:w="2265" w:type="dxa"/>
            <w:tcBorders>
              <w:top w:val="outset" w:sz="6" w:space="0" w:color="auto"/>
              <w:left w:val="outset" w:sz="6" w:space="0" w:color="auto"/>
              <w:bottom w:val="outset" w:sz="6" w:space="0" w:color="auto"/>
              <w:right w:val="outset" w:sz="6" w:space="0" w:color="auto"/>
            </w:tcBorders>
            <w:vAlign w:val="center"/>
            <w:hideMark/>
          </w:tcPr>
          <w:p w:rsidR="00C720FB" w:rsidRPr="00C720FB" w:rsidRDefault="00C720FB" w:rsidP="00C720FB">
            <w:pPr>
              <w:suppressAutoHyphens/>
              <w:spacing w:line="100" w:lineRule="atLeast"/>
              <w:ind w:right="47"/>
              <w:jc w:val="center"/>
              <w:rPr>
                <w:rFonts w:ascii="Arial" w:hAnsi="Arial" w:cs="Arial"/>
                <w:color w:val="000000"/>
                <w:sz w:val="16"/>
                <w:szCs w:val="16"/>
              </w:rPr>
            </w:pPr>
            <w:r w:rsidRPr="00C720FB">
              <w:rPr>
                <w:rFonts w:ascii="Arial" w:hAnsi="Arial" w:cs="Arial"/>
                <w:color w:val="000000"/>
                <w:sz w:val="16"/>
                <w:szCs w:val="16"/>
              </w:rPr>
              <w:t>0,2 % por dia</w:t>
            </w:r>
          </w:p>
        </w:tc>
      </w:tr>
    </w:tbl>
    <w:p w:rsidR="00C720FB" w:rsidRPr="00C720FB" w:rsidRDefault="00C720FB" w:rsidP="00C720FB">
      <w:pPr>
        <w:suppressAutoHyphens/>
        <w:spacing w:line="100" w:lineRule="atLeast"/>
        <w:ind w:right="47"/>
        <w:jc w:val="both"/>
        <w:rPr>
          <w:rFonts w:ascii="Arial" w:hAnsi="Arial" w:cs="Arial"/>
          <w:color w:val="000000"/>
          <w:sz w:val="16"/>
          <w:szCs w:val="16"/>
        </w:rPr>
      </w:pPr>
      <w:r w:rsidRPr="00C720FB">
        <w:rPr>
          <w:rFonts w:ascii="Arial" w:hAnsi="Arial" w:cs="Arial"/>
          <w:color w:val="000000"/>
          <w:sz w:val="16"/>
          <w:szCs w:val="16"/>
        </w:rPr>
        <w:t>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.11.</w:t>
      </w:r>
      <w:r w:rsidR="00C720FB" w:rsidRPr="00C720FB">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.12.</w:t>
      </w:r>
      <w:r w:rsidR="00C720FB" w:rsidRPr="00C720FB">
        <w:rPr>
          <w:rFonts w:ascii="Arial" w:hAnsi="Arial" w:cs="Arial"/>
          <w:sz w:val="16"/>
          <w:szCs w:val="16"/>
        </w:rPr>
        <w:t xml:space="preserve"> Após 30 (trinta) dias da falta de execução do objeto, será considerada inexecução total do contrato, o que ensejará a rescisão contratual.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.13.</w:t>
      </w:r>
      <w:r w:rsidR="00C720FB" w:rsidRPr="00C720FB">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.14.</w:t>
      </w:r>
      <w:r w:rsidR="00C720FB" w:rsidRPr="00C720FB">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12018B">
        <w:rPr>
          <w:rFonts w:ascii="Arial" w:hAnsi="Arial" w:cs="Arial"/>
          <w:b/>
          <w:sz w:val="16"/>
          <w:szCs w:val="16"/>
        </w:rPr>
        <w:t>9</w:t>
      </w:r>
      <w:r w:rsidR="00C720FB" w:rsidRPr="0012018B">
        <w:rPr>
          <w:rFonts w:ascii="Arial" w:hAnsi="Arial" w:cs="Arial"/>
          <w:b/>
          <w:sz w:val="16"/>
          <w:szCs w:val="16"/>
        </w:rPr>
        <w:t>.15.</w:t>
      </w:r>
      <w:r w:rsidR="00C720FB" w:rsidRPr="00C720FB">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12018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.16.</w:t>
      </w:r>
      <w:r w:rsidR="00C720FB" w:rsidRPr="00C720FB">
        <w:rPr>
          <w:rFonts w:ascii="Arial" w:hAnsi="Arial" w:cs="Arial"/>
          <w:sz w:val="16"/>
          <w:szCs w:val="16"/>
        </w:rPr>
        <w:t xml:space="preserve"> A sanção será obrigatoriamente registrada no Sistema de Cadastramento Unificado de Fornecedores – SICAF, bem como em sistemas Estaduais. </w:t>
      </w:r>
      <w:r w:rsidRPr="0012018B">
        <w:rPr>
          <w:rFonts w:ascii="Arial" w:hAnsi="Arial" w:cs="Arial"/>
          <w:b/>
          <w:sz w:val="16"/>
          <w:szCs w:val="16"/>
        </w:rPr>
        <w:t>9</w:t>
      </w:r>
      <w:r w:rsidR="00C720FB" w:rsidRPr="0012018B">
        <w:rPr>
          <w:rFonts w:ascii="Arial" w:hAnsi="Arial" w:cs="Arial"/>
          <w:b/>
          <w:sz w:val="16"/>
          <w:szCs w:val="16"/>
        </w:rPr>
        <w:t>.17.</w:t>
      </w:r>
      <w:r w:rsidR="00C720FB" w:rsidRPr="00C720FB">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2018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 xml:space="preserve">a) Tenham sofrido condenações definitivas por praticarem, por meio dolosos, fraude fiscal no recolhimento de tributos; </w:t>
      </w:r>
    </w:p>
    <w:p w:rsidR="0012018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 xml:space="preserve">b) Tenham praticado atos ilícitos visando a frustrar os objetivos da licitação; </w:t>
      </w:r>
    </w:p>
    <w:p w:rsidR="0012018B" w:rsidRDefault="00C720FB" w:rsidP="00D7163F">
      <w:pPr>
        <w:suppressAutoHyphens/>
        <w:spacing w:line="100" w:lineRule="atLeast"/>
        <w:ind w:right="47"/>
        <w:jc w:val="both"/>
        <w:rPr>
          <w:rFonts w:ascii="Arial" w:hAnsi="Arial" w:cs="Arial"/>
          <w:sz w:val="16"/>
          <w:szCs w:val="16"/>
        </w:rPr>
      </w:pPr>
      <w:r w:rsidRPr="00C720FB">
        <w:rPr>
          <w:rFonts w:ascii="Arial" w:hAnsi="Arial" w:cs="Arial"/>
          <w:sz w:val="16"/>
          <w:szCs w:val="16"/>
        </w:rPr>
        <w:t xml:space="preserve">c) Demonstrem não possuir idoneidade para contratar com a Administração em virtude de atos ilícitos praticados. </w:t>
      </w:r>
    </w:p>
    <w:p w:rsidR="0012018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.18.</w:t>
      </w:r>
      <w:r w:rsidR="00C720FB" w:rsidRPr="00C720FB">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C720F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w:t>
      </w:r>
      <w:r w:rsidR="00C720FB" w:rsidRPr="0012018B">
        <w:rPr>
          <w:rFonts w:ascii="Arial" w:hAnsi="Arial" w:cs="Arial"/>
          <w:b/>
          <w:sz w:val="16"/>
          <w:szCs w:val="16"/>
        </w:rPr>
        <w:t>.19.</w:t>
      </w:r>
      <w:r w:rsidR="00C720FB" w:rsidRPr="00C720FB">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w:t>
      </w:r>
    </w:p>
    <w:p w:rsidR="0012018B" w:rsidRDefault="0012018B" w:rsidP="00D7163F">
      <w:pPr>
        <w:suppressAutoHyphens/>
        <w:spacing w:line="100" w:lineRule="atLeast"/>
        <w:ind w:right="47"/>
        <w:jc w:val="both"/>
        <w:rPr>
          <w:rFonts w:ascii="Arial" w:hAnsi="Arial" w:cs="Arial"/>
          <w:sz w:val="16"/>
          <w:szCs w:val="16"/>
        </w:rPr>
      </w:pPr>
      <w:r w:rsidRPr="0012018B">
        <w:rPr>
          <w:rFonts w:ascii="Arial" w:hAnsi="Arial" w:cs="Arial"/>
          <w:b/>
          <w:sz w:val="16"/>
          <w:szCs w:val="16"/>
        </w:rPr>
        <w:t>9.20.</w:t>
      </w:r>
      <w:r w:rsidRPr="0012018B">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C720FB" w:rsidRPr="00D7163F" w:rsidRDefault="00C720FB" w:rsidP="00D7163F">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12018B" w:rsidP="009D2314">
      <w:pPr>
        <w:jc w:val="both"/>
        <w:rPr>
          <w:rFonts w:ascii="Arial" w:hAnsi="Arial" w:cs="Arial"/>
          <w:bCs/>
          <w:sz w:val="16"/>
          <w:szCs w:val="16"/>
        </w:rPr>
      </w:pPr>
      <w:r>
        <w:rPr>
          <w:rFonts w:ascii="Arial" w:hAnsi="Arial" w:cs="Arial"/>
          <w:bCs/>
          <w:sz w:val="16"/>
          <w:szCs w:val="16"/>
        </w:rPr>
        <w:t>SEDUC</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00E97174">
        <w:rPr>
          <w:rFonts w:ascii="Arial" w:hAnsi="Arial" w:cs="Arial"/>
          <w:bCs/>
          <w:sz w:val="16"/>
          <w:szCs w:val="16"/>
        </w:rPr>
        <w:t xml:space="preserve">Secretaria de Estado da </w:t>
      </w:r>
      <w:r>
        <w:rPr>
          <w:rFonts w:ascii="Arial" w:hAnsi="Arial" w:cs="Arial"/>
          <w:bCs/>
          <w:sz w:val="16"/>
          <w:szCs w:val="16"/>
        </w:rPr>
        <w:t>Educação</w:t>
      </w:r>
      <w:bookmarkStart w:id="1" w:name="_GoBack"/>
      <w:bookmarkEnd w:id="1"/>
      <w:r w:rsidR="00E97174"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4"/>
    <w:lvlOverride w:ilvl="0">
      <w:startOverride w:val="3"/>
    </w:lvlOverride>
  </w:num>
  <w:num w:numId="4">
    <w:abstractNumId w:val="16"/>
    <w:lvlOverride w:ilvl="0">
      <w:startOverride w:val="4"/>
    </w:lvlOverride>
  </w:num>
  <w:num w:numId="5">
    <w:abstractNumId w:val="15"/>
    <w:lvlOverride w:ilvl="0">
      <w:startOverride w:val="5"/>
    </w:lvlOverride>
  </w:num>
  <w:num w:numId="6">
    <w:abstractNumId w:val="8"/>
    <w:lvlOverride w:ilvl="0">
      <w:startOverride w:val="6"/>
    </w:lvlOverride>
  </w:num>
  <w:num w:numId="7">
    <w:abstractNumId w:val="6"/>
    <w:lvlOverride w:ilvl="0">
      <w:startOverride w:val="7"/>
    </w:lvlOverride>
  </w:num>
  <w:num w:numId="8">
    <w:abstractNumId w:val="12"/>
    <w:lvlOverride w:ilvl="0">
      <w:startOverride w:val="8"/>
    </w:lvlOverride>
  </w:num>
  <w:num w:numId="9">
    <w:abstractNumId w:val="21"/>
    <w:lvlOverride w:ilvl="0">
      <w:startOverride w:val="9"/>
    </w:lvlOverride>
  </w:num>
  <w:num w:numId="10">
    <w:abstractNumId w:val="18"/>
    <w:lvlOverride w:ilvl="0">
      <w:startOverride w:val="10"/>
    </w:lvlOverride>
  </w:num>
  <w:num w:numId="11">
    <w:abstractNumId w:val="5"/>
    <w:lvlOverride w:ilvl="0">
      <w:startOverride w:val="11"/>
    </w:lvlOverride>
  </w:num>
  <w:num w:numId="12">
    <w:abstractNumId w:val="14"/>
  </w:num>
  <w:num w:numId="13">
    <w:abstractNumId w:val="23"/>
  </w:num>
  <w:num w:numId="14">
    <w:abstractNumId w:val="20"/>
  </w:num>
  <w:num w:numId="15">
    <w:abstractNumId w:val="17"/>
  </w:num>
  <w:num w:numId="16">
    <w:abstractNumId w:val="19"/>
    <w:lvlOverride w:ilvl="0">
      <w:startOverride w:val="2"/>
    </w:lvlOverride>
  </w:num>
  <w:num w:numId="17">
    <w:abstractNumId w:val="22"/>
    <w:lvlOverride w:ilvl="0">
      <w:startOverride w:val="3"/>
    </w:lvlOverride>
  </w:num>
  <w:num w:numId="18">
    <w:abstractNumId w:val="10"/>
    <w:lvlOverride w:ilvl="0">
      <w:startOverride w:val="4"/>
    </w:lvlOverride>
  </w:num>
  <w:num w:numId="19">
    <w:abstractNumId w:val="7"/>
    <w:lvlOverride w:ilvl="0">
      <w:startOverride w:val="5"/>
    </w:lvlOverride>
  </w:num>
  <w:num w:numId="20">
    <w:abstractNumId w:val="9"/>
    <w:lvlOverride w:ilvl="0">
      <w:startOverride w:val="6"/>
    </w:lvlOverride>
  </w:num>
  <w:num w:numId="21">
    <w:abstractNumId w:val="13"/>
    <w:lvlOverride w:ilvl="0">
      <w:startOverride w:val="7"/>
    </w:lvlOverride>
  </w:num>
  <w:num w:numId="22">
    <w:abstractNumId w:val="11"/>
    <w:lvlOverride w:ilvl="0">
      <w:startOverride w:val="8"/>
    </w:lvlOverride>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18B"/>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2674"/>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0FB"/>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4594"/>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A4BDCB-9DEC-462B-9797-3FE1A3ED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09494594">
      <w:bodyDiv w:val="1"/>
      <w:marLeft w:val="0"/>
      <w:marRight w:val="0"/>
      <w:marTop w:val="0"/>
      <w:marBottom w:val="0"/>
      <w:divBdr>
        <w:top w:val="none" w:sz="0" w:space="0" w:color="auto"/>
        <w:left w:val="none" w:sz="0" w:space="0" w:color="auto"/>
        <w:bottom w:val="none" w:sz="0" w:space="0" w:color="auto"/>
        <w:right w:val="none" w:sz="0" w:space="0" w:color="auto"/>
      </w:divBdr>
      <w:divsChild>
        <w:div w:id="1004090143">
          <w:marLeft w:val="0"/>
          <w:marRight w:val="0"/>
          <w:marTop w:val="0"/>
          <w:marBottom w:val="0"/>
          <w:divBdr>
            <w:top w:val="none" w:sz="0" w:space="0" w:color="auto"/>
            <w:left w:val="none" w:sz="0" w:space="0" w:color="auto"/>
            <w:bottom w:val="none" w:sz="0" w:space="0" w:color="auto"/>
            <w:right w:val="none" w:sz="0" w:space="0" w:color="auto"/>
          </w:divBdr>
        </w:div>
      </w:divsChild>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3085A-00E0-4A23-AA62-B83251EDD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3239</Words>
  <Characters>18336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2018-08-23T16:12:00Z</cp:lastPrinted>
  <dcterms:created xsi:type="dcterms:W3CDTF">2018-08-30T14:03:00Z</dcterms:created>
  <dcterms:modified xsi:type="dcterms:W3CDTF">2018-08-30T14:15:00Z</dcterms:modified>
</cp:coreProperties>
</file>