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BC2F25">
        <w:rPr>
          <w:rFonts w:ascii="Arial" w:hAnsi="Arial" w:cs="Arial"/>
          <w:b/>
          <w:sz w:val="16"/>
          <w:szCs w:val="16"/>
        </w:rPr>
        <w:t>1</w:t>
      </w:r>
      <w:r w:rsidR="00061970">
        <w:rPr>
          <w:rFonts w:ascii="Arial" w:hAnsi="Arial" w:cs="Arial"/>
          <w:b/>
          <w:sz w:val="16"/>
          <w:szCs w:val="16"/>
        </w:rPr>
        <w:t>88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061970">
        <w:rPr>
          <w:rFonts w:ascii="Arial" w:hAnsi="Arial" w:cs="Arial"/>
          <w:b/>
          <w:bCs/>
          <w:sz w:val="16"/>
          <w:szCs w:val="16"/>
        </w:rPr>
        <w:t>210</w:t>
      </w:r>
      <w:r w:rsidR="005925DA">
        <w:rPr>
          <w:rFonts w:ascii="Arial" w:hAnsi="Arial" w:cs="Arial"/>
          <w:b/>
          <w:bCs/>
          <w:sz w:val="16"/>
          <w:szCs w:val="16"/>
        </w:rPr>
        <w:t>/201</w:t>
      </w:r>
      <w:r w:rsidR="00BC2F25">
        <w:rPr>
          <w:rFonts w:ascii="Arial" w:hAnsi="Arial" w:cs="Arial"/>
          <w:b/>
          <w:bCs/>
          <w:sz w:val="16"/>
          <w:szCs w:val="16"/>
        </w:rPr>
        <w:t>8</w:t>
      </w:r>
    </w:p>
    <w:p w:rsidR="00145D13"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BC2F25">
        <w:rPr>
          <w:rFonts w:ascii="Arial" w:hAnsi="Arial" w:cs="Arial"/>
          <w:b/>
          <w:bCs/>
          <w:sz w:val="16"/>
          <w:szCs w:val="16"/>
        </w:rPr>
        <w:t xml:space="preserve"> </w:t>
      </w:r>
      <w:hyperlink r:id="rId9" w:tgtFrame="ifrVisualizacao" w:history="1">
        <w:r w:rsidR="00BC2F25" w:rsidRPr="00BC2F25">
          <w:rPr>
            <w:rFonts w:ascii="Arial" w:hAnsi="Arial" w:cs="Arial"/>
            <w:b/>
            <w:bCs/>
            <w:sz w:val="16"/>
            <w:szCs w:val="16"/>
          </w:rPr>
          <w:t>0029.</w:t>
        </w:r>
        <w:r w:rsidR="00061970">
          <w:rPr>
            <w:rFonts w:ascii="Arial" w:hAnsi="Arial" w:cs="Arial"/>
            <w:b/>
            <w:bCs/>
            <w:sz w:val="16"/>
            <w:szCs w:val="16"/>
          </w:rPr>
          <w:t>202092</w:t>
        </w:r>
        <w:r w:rsidR="00BC2F25" w:rsidRPr="00BC2F25">
          <w:rPr>
            <w:rFonts w:ascii="Arial" w:hAnsi="Arial" w:cs="Arial"/>
            <w:b/>
            <w:bCs/>
            <w:sz w:val="16"/>
            <w:szCs w:val="16"/>
          </w:rPr>
          <w:t>/201</w:t>
        </w:r>
        <w:r w:rsidR="00061970">
          <w:rPr>
            <w:rFonts w:ascii="Arial" w:hAnsi="Arial" w:cs="Arial"/>
            <w:b/>
            <w:bCs/>
            <w:sz w:val="16"/>
            <w:szCs w:val="16"/>
          </w:rPr>
          <w:t>8</w:t>
        </w:r>
        <w:r w:rsidR="00BC2F25" w:rsidRPr="00BC2F25">
          <w:rPr>
            <w:rFonts w:ascii="Arial" w:hAnsi="Arial" w:cs="Arial"/>
            <w:b/>
            <w:bCs/>
            <w:sz w:val="16"/>
            <w:szCs w:val="16"/>
          </w:rPr>
          <w:t>-</w:t>
        </w:r>
      </w:hyperlink>
      <w:r w:rsidR="00061970">
        <w:rPr>
          <w:rFonts w:ascii="Arial" w:hAnsi="Arial" w:cs="Arial"/>
          <w:b/>
          <w:bCs/>
          <w:sz w:val="16"/>
          <w:szCs w:val="16"/>
        </w:rPr>
        <w:t>80</w:t>
      </w:r>
    </w:p>
    <w:p w:rsidR="00BE2572" w:rsidRPr="009D74B3" w:rsidRDefault="00BE2572" w:rsidP="009D2314">
      <w:pPr>
        <w:jc w:val="both"/>
        <w:rPr>
          <w:rFonts w:ascii="Arial" w:hAnsi="Arial" w:cs="Arial"/>
          <w:b/>
          <w:bCs/>
          <w:sz w:val="16"/>
          <w:szCs w:val="16"/>
        </w:rPr>
      </w:pPr>
    </w:p>
    <w:p w:rsidR="009D2314" w:rsidRPr="00061970" w:rsidRDefault="002E300A" w:rsidP="009F39DE">
      <w:pPr>
        <w:autoSpaceDE w:val="0"/>
        <w:autoSpaceDN w:val="0"/>
        <w:adjustRightInd w:val="0"/>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061970">
        <w:rPr>
          <w:rFonts w:ascii="Arial" w:hAnsi="Arial" w:cs="Arial"/>
          <w:color w:val="000000" w:themeColor="text1"/>
          <w:sz w:val="16"/>
          <w:szCs w:val="16"/>
        </w:rPr>
        <w:t>da SUPEL, Senhor Márcio Rogério Gabriel e a(s) empresa(s) qualificada(s) no</w:t>
      </w:r>
      <w:r w:rsidR="00190648" w:rsidRPr="00061970">
        <w:rPr>
          <w:rFonts w:ascii="Arial" w:hAnsi="Arial" w:cs="Arial"/>
          <w:color w:val="000000" w:themeColor="text1"/>
          <w:sz w:val="16"/>
          <w:szCs w:val="16"/>
        </w:rPr>
        <w:t xml:space="preserve"> Anexo Único desta Ata, resolvem</w:t>
      </w:r>
      <w:r w:rsidRPr="00061970">
        <w:rPr>
          <w:rFonts w:ascii="Arial" w:hAnsi="Arial" w:cs="Arial"/>
          <w:color w:val="000000" w:themeColor="text1"/>
          <w:sz w:val="16"/>
          <w:szCs w:val="16"/>
        </w:rPr>
        <w:t xml:space="preserve"> </w:t>
      </w:r>
      <w:r w:rsidRPr="00061970">
        <w:rPr>
          <w:rFonts w:ascii="Arial" w:hAnsi="Arial" w:cs="Arial"/>
          <w:b/>
          <w:color w:val="000000" w:themeColor="text1"/>
          <w:sz w:val="16"/>
          <w:szCs w:val="16"/>
        </w:rPr>
        <w:t>REGISTRAR O PREÇ</w:t>
      </w:r>
      <w:r w:rsidR="00F17DD3" w:rsidRPr="00061970">
        <w:rPr>
          <w:rFonts w:ascii="Arial" w:hAnsi="Arial" w:cs="Arial"/>
          <w:b/>
          <w:color w:val="000000" w:themeColor="text1"/>
          <w:sz w:val="16"/>
          <w:szCs w:val="16"/>
        </w:rPr>
        <w:t>O</w:t>
      </w:r>
      <w:r w:rsidR="00BC2F25" w:rsidRPr="00061970">
        <w:rPr>
          <w:rFonts w:ascii="Arial" w:hAnsi="Arial" w:cs="Arial"/>
          <w:b/>
          <w:color w:val="000000" w:themeColor="text1"/>
          <w:sz w:val="16"/>
          <w:szCs w:val="16"/>
        </w:rPr>
        <w:t xml:space="preserve"> </w:t>
      </w:r>
      <w:r w:rsidR="00061970" w:rsidRPr="00061970">
        <w:rPr>
          <w:rFonts w:ascii="Arial" w:hAnsi="Arial" w:cs="Arial"/>
          <w:sz w:val="16"/>
          <w:szCs w:val="16"/>
        </w:rPr>
        <w:t>para futura e eventual aquisição, pela Secretaria de Estado da Educação - SEDUC, de Material de Consumo e Permanente – Esportivo e Cultural</w:t>
      </w:r>
      <w:r w:rsidR="00BC2F25" w:rsidRPr="00061970">
        <w:rPr>
          <w:rFonts w:ascii="Arial" w:hAnsi="Arial" w:cs="Arial"/>
          <w:sz w:val="16"/>
          <w:szCs w:val="16"/>
        </w:rPr>
        <w:t>, afim de atender as necessidades da Secretaria de Estado de Educação – SEDUC</w:t>
      </w:r>
      <w:r w:rsidR="006B5A0F" w:rsidRPr="00061970">
        <w:rPr>
          <w:rFonts w:ascii="Arial" w:hAnsi="Arial" w:cs="Arial"/>
          <w:color w:val="000000" w:themeColor="text1"/>
          <w:sz w:val="16"/>
          <w:szCs w:val="16"/>
        </w:rPr>
        <w:t>,</w:t>
      </w:r>
      <w:r w:rsidR="00A212A5" w:rsidRPr="00061970">
        <w:rPr>
          <w:rFonts w:ascii="Arial" w:hAnsi="Arial" w:cs="Arial"/>
          <w:color w:val="000000" w:themeColor="text1"/>
          <w:sz w:val="16"/>
          <w:szCs w:val="16"/>
        </w:rPr>
        <w:t xml:space="preserve"> para o período de 12 meses, conforme especificação completa no Termo de Referência – Anexo I deste Edital </w:t>
      </w:r>
      <w:r w:rsidRPr="00061970">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61970">
        <w:rPr>
          <w:rFonts w:ascii="Arial" w:hAnsi="Arial" w:cs="Arial"/>
          <w:color w:val="000000" w:themeColor="text1"/>
          <w:sz w:val="16"/>
          <w:szCs w:val="16"/>
        </w:rPr>
        <w:t>8.340/13</w:t>
      </w:r>
      <w:r w:rsidRPr="00061970">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BC2F25" w:rsidRPr="00BC2F25" w:rsidRDefault="007F65D5" w:rsidP="004741FB">
      <w:pPr>
        <w:ind w:right="-1"/>
        <w:jc w:val="both"/>
        <w:rPr>
          <w:rFonts w:ascii="Arial" w:hAnsi="Arial" w:cs="Arial"/>
          <w:sz w:val="16"/>
          <w:szCs w:val="16"/>
        </w:rPr>
      </w:pPr>
      <w:r w:rsidRPr="00BC2F25">
        <w:rPr>
          <w:rFonts w:ascii="Arial" w:hAnsi="Arial" w:cs="Arial"/>
          <w:sz w:val="16"/>
          <w:szCs w:val="16"/>
        </w:rPr>
        <w:t xml:space="preserve">REGISTRO DE PREÇO </w:t>
      </w:r>
      <w:r w:rsidR="00061970" w:rsidRPr="00061970">
        <w:rPr>
          <w:rFonts w:ascii="Arial" w:hAnsi="Arial" w:cs="Arial"/>
          <w:sz w:val="16"/>
          <w:szCs w:val="16"/>
        </w:rPr>
        <w:t>para futura e eventual aquisição, pela Secretaria de Estado da Educação - SEDUC, de Material de Consumo e Permanente – Esportivo e Cul</w:t>
      </w:r>
      <w:r w:rsidR="00061970" w:rsidRPr="00061970">
        <w:rPr>
          <w:rFonts w:ascii="Arial" w:hAnsi="Arial" w:cs="Arial"/>
          <w:sz w:val="16"/>
          <w:szCs w:val="16"/>
        </w:rPr>
        <w:t>tural, afim de atender as necessidades da Secretaria de Estado de Educação – SEDUC</w:t>
      </w:r>
      <w:r w:rsidR="00061970" w:rsidRPr="00061970">
        <w:rPr>
          <w:rFonts w:ascii="Arial" w:hAnsi="Arial" w:cs="Arial"/>
          <w:color w:val="000000" w:themeColor="text1"/>
          <w:sz w:val="16"/>
          <w:szCs w:val="16"/>
        </w:rPr>
        <w:t>, para o período de 12 meses</w:t>
      </w:r>
      <w:r w:rsidR="00BC2F25" w:rsidRPr="00BC2F25">
        <w:rPr>
          <w:rFonts w:ascii="Arial" w:hAnsi="Arial" w:cs="Arial"/>
          <w:sz w:val="16"/>
          <w:szCs w:val="16"/>
        </w:rPr>
        <w:t>.</w:t>
      </w:r>
    </w:p>
    <w:p w:rsidR="00BC2F25" w:rsidRDefault="00BC2F25" w:rsidP="004741FB">
      <w:pPr>
        <w:ind w:right="-1"/>
        <w:jc w:val="both"/>
        <w:rPr>
          <w:rFonts w:ascii="Arial" w:hAnsi="Arial" w:cs="Arial"/>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1970" w:rsidRDefault="00A14D66" w:rsidP="00206244">
      <w:pPr>
        <w:jc w:val="both"/>
        <w:rPr>
          <w:rFonts w:ascii="Arial" w:hAnsi="Arial" w:cs="Arial"/>
          <w:b/>
          <w:bCs/>
          <w:sz w:val="16"/>
          <w:szCs w:val="16"/>
        </w:rPr>
      </w:pPr>
      <w:r w:rsidRPr="00061970">
        <w:rPr>
          <w:rFonts w:ascii="Arial" w:hAnsi="Arial" w:cs="Arial"/>
          <w:b/>
          <w:bCs/>
          <w:color w:val="000000"/>
          <w:sz w:val="16"/>
          <w:szCs w:val="16"/>
        </w:rPr>
        <w:t>6.</w:t>
      </w:r>
      <w:r w:rsidR="006B04DB" w:rsidRPr="00061970">
        <w:rPr>
          <w:rFonts w:ascii="Arial" w:hAnsi="Arial" w:cs="Arial"/>
          <w:b/>
          <w:bCs/>
          <w:color w:val="000000"/>
          <w:sz w:val="16"/>
          <w:szCs w:val="16"/>
        </w:rPr>
        <w:t xml:space="preserve"> </w:t>
      </w:r>
      <w:r w:rsidR="008668C5" w:rsidRPr="00061970">
        <w:rPr>
          <w:rFonts w:ascii="Arial" w:hAnsi="Arial" w:cs="Arial"/>
          <w:b/>
          <w:bCs/>
          <w:sz w:val="16"/>
          <w:szCs w:val="16"/>
        </w:rPr>
        <w:t xml:space="preserve">DO PRAZO E LOCAL DE </w:t>
      </w:r>
      <w:r w:rsidR="00CF6980" w:rsidRPr="00061970">
        <w:rPr>
          <w:rFonts w:ascii="Arial" w:hAnsi="Arial" w:cs="Arial"/>
          <w:b/>
          <w:bCs/>
          <w:sz w:val="16"/>
          <w:szCs w:val="16"/>
        </w:rPr>
        <w:t>ENTREGA</w:t>
      </w:r>
    </w:p>
    <w:p w:rsidR="00206244" w:rsidRPr="00061970" w:rsidRDefault="00206244" w:rsidP="00206244">
      <w:pPr>
        <w:jc w:val="both"/>
        <w:rPr>
          <w:rFonts w:ascii="Arial" w:hAnsi="Arial" w:cs="Arial"/>
          <w:sz w:val="16"/>
          <w:szCs w:val="16"/>
        </w:rPr>
      </w:pPr>
      <w:r w:rsidRPr="00061970">
        <w:rPr>
          <w:rFonts w:ascii="Arial" w:hAnsi="Arial" w:cs="Arial"/>
          <w:b/>
          <w:sz w:val="16"/>
          <w:szCs w:val="16"/>
        </w:rPr>
        <w:t>6.1.</w:t>
      </w:r>
      <w:r w:rsidRPr="00061970">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61970" w:rsidRDefault="00206244" w:rsidP="00206244">
      <w:pPr>
        <w:jc w:val="both"/>
        <w:rPr>
          <w:rFonts w:ascii="Arial" w:hAnsi="Arial" w:cs="Arial"/>
          <w:sz w:val="16"/>
          <w:szCs w:val="16"/>
        </w:rPr>
      </w:pPr>
      <w:r w:rsidRPr="00061970">
        <w:rPr>
          <w:rFonts w:ascii="Arial" w:hAnsi="Arial" w:cs="Arial"/>
          <w:b/>
          <w:sz w:val="16"/>
          <w:szCs w:val="16"/>
        </w:rPr>
        <w:t>6.2.</w:t>
      </w:r>
      <w:r w:rsidRPr="00061970">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B7A9D" w:rsidRPr="00061970" w:rsidRDefault="00206244" w:rsidP="00061970">
      <w:pPr>
        <w:pStyle w:val="PargrafodaLista"/>
        <w:ind w:left="0"/>
        <w:contextualSpacing w:val="0"/>
        <w:jc w:val="both"/>
        <w:rPr>
          <w:rFonts w:ascii="Arial" w:hAnsi="Arial" w:cs="Arial"/>
          <w:sz w:val="16"/>
          <w:szCs w:val="16"/>
        </w:rPr>
      </w:pPr>
      <w:r w:rsidRPr="00061970">
        <w:rPr>
          <w:rFonts w:ascii="Arial" w:hAnsi="Arial" w:cs="Arial"/>
          <w:b/>
          <w:sz w:val="16"/>
          <w:szCs w:val="16"/>
        </w:rPr>
        <w:t>6.3.</w:t>
      </w:r>
      <w:r w:rsidRPr="00061970">
        <w:rPr>
          <w:rFonts w:ascii="Arial" w:hAnsi="Arial" w:cs="Arial"/>
          <w:sz w:val="16"/>
          <w:szCs w:val="16"/>
        </w:rPr>
        <w:t xml:space="preserve"> </w:t>
      </w:r>
      <w:r w:rsidRPr="00061970">
        <w:rPr>
          <w:rFonts w:ascii="Arial" w:hAnsi="Arial" w:cs="Arial"/>
          <w:b/>
          <w:sz w:val="16"/>
          <w:szCs w:val="16"/>
        </w:rPr>
        <w:t>DO PRAZO DE ENTREGA</w:t>
      </w:r>
      <w:r w:rsidR="006D1053" w:rsidRPr="00061970">
        <w:rPr>
          <w:rFonts w:ascii="Arial" w:hAnsi="Arial" w:cs="Arial"/>
          <w:sz w:val="16"/>
          <w:szCs w:val="16"/>
        </w:rPr>
        <w:t>:</w:t>
      </w:r>
      <w:r w:rsidR="00416202" w:rsidRPr="00061970">
        <w:rPr>
          <w:rFonts w:ascii="Arial" w:hAnsi="Arial" w:cs="Arial"/>
          <w:sz w:val="16"/>
          <w:szCs w:val="16"/>
        </w:rPr>
        <w:t xml:space="preserve"> </w:t>
      </w:r>
      <w:r w:rsidR="00061970" w:rsidRPr="00061970">
        <w:rPr>
          <w:rFonts w:ascii="Arial" w:hAnsi="Arial" w:cs="Arial"/>
          <w:sz w:val="16"/>
          <w:szCs w:val="16"/>
        </w:rPr>
        <w:t xml:space="preserve">O prazo de entrega dos materiais de consumo, objeto do presente termo, de até </w:t>
      </w:r>
      <w:r w:rsidR="00061970" w:rsidRPr="00061970">
        <w:rPr>
          <w:rFonts w:ascii="Arial" w:hAnsi="Arial" w:cs="Arial"/>
          <w:b/>
          <w:sz w:val="16"/>
          <w:szCs w:val="16"/>
        </w:rPr>
        <w:t xml:space="preserve">30 (trinta) dias, </w:t>
      </w:r>
      <w:r w:rsidR="00061970" w:rsidRPr="00061970">
        <w:rPr>
          <w:rFonts w:ascii="Arial" w:hAnsi="Arial" w:cs="Arial"/>
          <w:sz w:val="16"/>
          <w:szCs w:val="16"/>
        </w:rPr>
        <w:t>contados a partir do primeiro dia útil após o recebimento da Nota de Empenho – NE, e</w:t>
      </w:r>
      <w:r w:rsidR="00061970">
        <w:rPr>
          <w:rFonts w:ascii="Arial" w:hAnsi="Arial" w:cs="Arial"/>
          <w:sz w:val="16"/>
          <w:szCs w:val="16"/>
        </w:rPr>
        <w:t>xpedida pelo órgão solicitante.</w:t>
      </w:r>
    </w:p>
    <w:p w:rsidR="00061970" w:rsidRPr="00061970" w:rsidRDefault="00206244" w:rsidP="00061970">
      <w:pPr>
        <w:pStyle w:val="PargrafodaLista"/>
        <w:ind w:left="0"/>
        <w:contextualSpacing w:val="0"/>
        <w:jc w:val="both"/>
        <w:rPr>
          <w:rFonts w:ascii="Arial" w:hAnsi="Arial" w:cs="Arial"/>
          <w:sz w:val="16"/>
          <w:szCs w:val="16"/>
        </w:rPr>
      </w:pPr>
      <w:r w:rsidRPr="00061970">
        <w:rPr>
          <w:rFonts w:ascii="Arial" w:hAnsi="Arial" w:cs="Arial"/>
          <w:b/>
          <w:color w:val="000000"/>
          <w:sz w:val="16"/>
          <w:szCs w:val="16"/>
        </w:rPr>
        <w:t>6.4.</w:t>
      </w:r>
      <w:r w:rsidRPr="00061970">
        <w:rPr>
          <w:rFonts w:ascii="Arial" w:hAnsi="Arial" w:cs="Arial"/>
          <w:color w:val="000000"/>
          <w:sz w:val="16"/>
          <w:szCs w:val="16"/>
        </w:rPr>
        <w:t xml:space="preserve"> </w:t>
      </w:r>
      <w:r w:rsidRPr="00061970">
        <w:rPr>
          <w:rFonts w:ascii="Arial" w:hAnsi="Arial" w:cs="Arial"/>
          <w:b/>
          <w:sz w:val="16"/>
          <w:szCs w:val="16"/>
        </w:rPr>
        <w:t>DO LOCAL DE ENTREGA</w:t>
      </w:r>
      <w:r w:rsidRPr="00061970">
        <w:rPr>
          <w:rFonts w:ascii="Arial" w:hAnsi="Arial" w:cs="Arial"/>
          <w:sz w:val="16"/>
          <w:szCs w:val="16"/>
        </w:rPr>
        <w:t xml:space="preserve">: </w:t>
      </w:r>
      <w:r w:rsidR="00061970" w:rsidRPr="00061970">
        <w:rPr>
          <w:rFonts w:ascii="Arial" w:hAnsi="Arial" w:cs="Arial"/>
          <w:sz w:val="16"/>
          <w:szCs w:val="16"/>
        </w:rPr>
        <w:t>Os materiais decorrentes desta aquisição deverão ser entregues na Gerência de Almoxarifado e Patrimônio, sito a Avenida dos Imigrantes, nº 1699, Bairro São Sebastião II, no Município de Porto Velho, ao lado do IDARON, em dias úteis, de segunda à sexta-feira, no horário das 07h30m às 13h30min, mediante prévio agendamento junto ao GAP/SEDUC, pelos telefones: (69) 3216-5901 e (69) 3216-5910.</w:t>
      </w:r>
    </w:p>
    <w:p w:rsidR="00AB7A9D" w:rsidRPr="009F39DE" w:rsidRDefault="00AB7A9D" w:rsidP="00AB7A9D">
      <w:pPr>
        <w:jc w:val="both"/>
        <w:rPr>
          <w:rFonts w:ascii="Arial" w:hAnsi="Arial" w:cs="Arial"/>
          <w:sz w:val="16"/>
          <w:szCs w:val="16"/>
        </w:rPr>
      </w:pPr>
    </w:p>
    <w:p w:rsidR="00BE2572" w:rsidRPr="00AB7A9D" w:rsidRDefault="00BE2572" w:rsidP="00AB7A9D">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061970" w:rsidRPr="00061970" w:rsidRDefault="00061970" w:rsidP="006D6EA0">
      <w:pPr>
        <w:pStyle w:val="PargrafodaLista"/>
        <w:numPr>
          <w:ilvl w:val="1"/>
          <w:numId w:val="3"/>
        </w:numPr>
        <w:ind w:left="0" w:firstLine="0"/>
        <w:jc w:val="both"/>
        <w:rPr>
          <w:rFonts w:ascii="Arial" w:hAnsi="Arial" w:cs="Arial"/>
          <w:sz w:val="16"/>
          <w:szCs w:val="16"/>
        </w:rPr>
      </w:pPr>
      <w:r w:rsidRPr="00061970">
        <w:rPr>
          <w:rFonts w:ascii="Arial" w:hAnsi="Arial" w:cs="Arial"/>
          <w:sz w:val="16"/>
          <w:szCs w:val="16"/>
        </w:rPr>
        <w:t>Além daquelas determinadas por leis, decretos, regulamentos e demais dispositivos legais, a CONTRATADA estará sujeita as sanções definidas neste Termo de Referência.</w:t>
      </w:r>
    </w:p>
    <w:p w:rsidR="00061970" w:rsidRPr="00061970" w:rsidRDefault="00061970" w:rsidP="00061970">
      <w:pPr>
        <w:rPr>
          <w:rFonts w:ascii="Arial" w:hAnsi="Arial" w:cs="Arial"/>
          <w:sz w:val="16"/>
          <w:szCs w:val="16"/>
        </w:rPr>
      </w:pPr>
    </w:p>
    <w:p w:rsidR="00061970" w:rsidRPr="00061970" w:rsidRDefault="00061970" w:rsidP="006D6EA0">
      <w:pPr>
        <w:pStyle w:val="PargrafodaLista"/>
        <w:numPr>
          <w:ilvl w:val="1"/>
          <w:numId w:val="3"/>
        </w:numPr>
        <w:ind w:left="0" w:firstLine="0"/>
        <w:jc w:val="both"/>
        <w:rPr>
          <w:rFonts w:ascii="Arial" w:hAnsi="Arial" w:cs="Arial"/>
          <w:sz w:val="16"/>
          <w:szCs w:val="16"/>
        </w:rPr>
      </w:pPr>
      <w:r w:rsidRPr="00061970">
        <w:rPr>
          <w:rFonts w:ascii="Arial" w:hAnsi="Arial" w:cs="Arial"/>
          <w:sz w:val="16"/>
          <w:szCs w:val="16"/>
        </w:rPr>
        <w:t xml:space="preserve">Sem prejuízo das sanções cominadas no art. 87, I, III e IV, da Lei nº 8.666/93, pela inexecução total ou parcial do instrumento de contrato, a Contratante poderá, garantida a prévia e ampla defesa, aplicar à Contratada multa (Tabela – Item 26.11), sobre a parcela inadimplida do contrato; </w:t>
      </w:r>
    </w:p>
    <w:p w:rsidR="00061970" w:rsidRPr="00061970" w:rsidRDefault="00061970" w:rsidP="00061970">
      <w:pPr>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61970" w:rsidRPr="00061970" w:rsidRDefault="00061970" w:rsidP="00061970">
      <w:pPr>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061970" w:rsidRPr="00061970" w:rsidRDefault="00061970" w:rsidP="00061970">
      <w:pPr>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061970" w:rsidRPr="00061970" w:rsidRDefault="00061970" w:rsidP="00061970">
      <w:pPr>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061970" w:rsidRPr="00061970" w:rsidRDefault="00061970" w:rsidP="00061970">
      <w:pPr>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61970" w:rsidRPr="00061970" w:rsidRDefault="00061970" w:rsidP="00061970">
      <w:pPr>
        <w:rPr>
          <w:rFonts w:ascii="Arial" w:hAnsi="Arial" w:cs="Arial"/>
          <w:sz w:val="16"/>
          <w:szCs w:val="16"/>
        </w:rPr>
      </w:pPr>
      <w:bookmarkStart w:id="1" w:name="_GoBack"/>
      <w:bookmarkEnd w:id="1"/>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61970" w:rsidRPr="00061970" w:rsidRDefault="00061970" w:rsidP="00061970">
      <w:pPr>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São exemplos de infração administrativa penalizáveis, nos termos da Lei nº 8.666, de 1993, da Lei nº 10.520, de 2002, dos Decretos Estaduais nº 12.205/06, 12.234/06 (Pregão Eletrônico e Presencial):</w:t>
      </w:r>
    </w:p>
    <w:p w:rsidR="00061970" w:rsidRPr="00061970" w:rsidRDefault="00061970" w:rsidP="00061970">
      <w:pPr>
        <w:rPr>
          <w:rFonts w:ascii="Arial" w:hAnsi="Arial" w:cs="Arial"/>
          <w:sz w:val="16"/>
          <w:szCs w:val="16"/>
        </w:rPr>
      </w:pPr>
    </w:p>
    <w:p w:rsidR="00061970" w:rsidRPr="00061970" w:rsidRDefault="00061970" w:rsidP="006D6EA0">
      <w:pPr>
        <w:pStyle w:val="PargrafodaLista"/>
        <w:numPr>
          <w:ilvl w:val="0"/>
          <w:numId w:val="1"/>
        </w:numPr>
        <w:ind w:left="0" w:firstLine="0"/>
        <w:contextualSpacing w:val="0"/>
        <w:jc w:val="both"/>
        <w:rPr>
          <w:rFonts w:ascii="Arial" w:hAnsi="Arial" w:cs="Arial"/>
          <w:sz w:val="16"/>
          <w:szCs w:val="16"/>
        </w:rPr>
      </w:pPr>
      <w:r w:rsidRPr="00061970">
        <w:rPr>
          <w:rFonts w:ascii="Arial" w:hAnsi="Arial" w:cs="Arial"/>
          <w:sz w:val="16"/>
          <w:szCs w:val="16"/>
        </w:rPr>
        <w:t>Inexecução total ou parcial do contrato;</w:t>
      </w:r>
    </w:p>
    <w:p w:rsidR="00061970" w:rsidRPr="00061970" w:rsidRDefault="00061970" w:rsidP="006D6EA0">
      <w:pPr>
        <w:pStyle w:val="PargrafodaLista"/>
        <w:numPr>
          <w:ilvl w:val="0"/>
          <w:numId w:val="1"/>
        </w:numPr>
        <w:ind w:left="0" w:firstLine="0"/>
        <w:contextualSpacing w:val="0"/>
        <w:jc w:val="both"/>
        <w:rPr>
          <w:rFonts w:ascii="Arial" w:hAnsi="Arial" w:cs="Arial"/>
          <w:sz w:val="16"/>
          <w:szCs w:val="16"/>
        </w:rPr>
      </w:pPr>
      <w:r w:rsidRPr="00061970">
        <w:rPr>
          <w:rFonts w:ascii="Arial" w:hAnsi="Arial" w:cs="Arial"/>
          <w:sz w:val="16"/>
          <w:szCs w:val="16"/>
        </w:rPr>
        <w:t>Apresentação de documentação falsa;</w:t>
      </w:r>
    </w:p>
    <w:p w:rsidR="00061970" w:rsidRPr="00061970" w:rsidRDefault="00061970" w:rsidP="006D6EA0">
      <w:pPr>
        <w:pStyle w:val="PargrafodaLista"/>
        <w:numPr>
          <w:ilvl w:val="0"/>
          <w:numId w:val="1"/>
        </w:numPr>
        <w:ind w:left="0" w:firstLine="0"/>
        <w:contextualSpacing w:val="0"/>
        <w:jc w:val="both"/>
        <w:rPr>
          <w:rFonts w:ascii="Arial" w:hAnsi="Arial" w:cs="Arial"/>
          <w:sz w:val="16"/>
          <w:szCs w:val="16"/>
        </w:rPr>
      </w:pPr>
      <w:r w:rsidRPr="00061970">
        <w:rPr>
          <w:rFonts w:ascii="Arial" w:hAnsi="Arial" w:cs="Arial"/>
          <w:sz w:val="16"/>
          <w:szCs w:val="16"/>
        </w:rPr>
        <w:t>Comportamento inidôneo;</w:t>
      </w:r>
    </w:p>
    <w:p w:rsidR="00061970" w:rsidRPr="00061970" w:rsidRDefault="00061970" w:rsidP="006D6EA0">
      <w:pPr>
        <w:pStyle w:val="PargrafodaLista"/>
        <w:numPr>
          <w:ilvl w:val="0"/>
          <w:numId w:val="1"/>
        </w:numPr>
        <w:ind w:left="0" w:firstLine="0"/>
        <w:contextualSpacing w:val="0"/>
        <w:jc w:val="both"/>
        <w:rPr>
          <w:rFonts w:ascii="Arial" w:hAnsi="Arial" w:cs="Arial"/>
          <w:sz w:val="16"/>
          <w:szCs w:val="16"/>
        </w:rPr>
      </w:pPr>
      <w:r w:rsidRPr="00061970">
        <w:rPr>
          <w:rFonts w:ascii="Arial" w:hAnsi="Arial" w:cs="Arial"/>
          <w:sz w:val="16"/>
          <w:szCs w:val="16"/>
        </w:rPr>
        <w:t>Fraude fiscal;</w:t>
      </w:r>
    </w:p>
    <w:p w:rsidR="00061970" w:rsidRPr="00061970" w:rsidRDefault="00061970" w:rsidP="006D6EA0">
      <w:pPr>
        <w:pStyle w:val="PargrafodaLista"/>
        <w:numPr>
          <w:ilvl w:val="0"/>
          <w:numId w:val="1"/>
        </w:numPr>
        <w:ind w:left="0" w:firstLine="0"/>
        <w:contextualSpacing w:val="0"/>
        <w:jc w:val="both"/>
        <w:rPr>
          <w:rFonts w:ascii="Arial" w:hAnsi="Arial" w:cs="Arial"/>
          <w:sz w:val="16"/>
          <w:szCs w:val="16"/>
        </w:rPr>
      </w:pPr>
      <w:r w:rsidRPr="00061970">
        <w:rPr>
          <w:rFonts w:ascii="Arial" w:hAnsi="Arial" w:cs="Arial"/>
          <w:sz w:val="16"/>
          <w:szCs w:val="16"/>
        </w:rPr>
        <w:t>Descumprimento de qualquer dos deveres elencados no Edital ou no Contrato.</w:t>
      </w:r>
    </w:p>
    <w:p w:rsidR="00061970" w:rsidRPr="00061970" w:rsidRDefault="00061970" w:rsidP="00061970">
      <w:pPr>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061970" w:rsidRPr="00061970" w:rsidRDefault="00061970" w:rsidP="00061970">
      <w:pPr>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061970" w:rsidRPr="00061970" w:rsidRDefault="00061970" w:rsidP="00061970">
      <w:pPr>
        <w:rPr>
          <w:rFonts w:ascii="Arial" w:hAnsi="Arial" w:cs="Arial"/>
          <w:sz w:val="16"/>
          <w:szCs w:val="16"/>
        </w:rPr>
      </w:pPr>
    </w:p>
    <w:tbl>
      <w:tblPr>
        <w:tblW w:w="4983"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2"/>
        <w:gridCol w:w="8157"/>
        <w:gridCol w:w="750"/>
        <w:gridCol w:w="1397"/>
      </w:tblGrid>
      <w:tr w:rsidR="00061970" w:rsidRPr="00061970" w:rsidTr="00EE2AD9">
        <w:trPr>
          <w:trHeight w:val="170"/>
        </w:trPr>
        <w:tc>
          <w:tcPr>
            <w:tcW w:w="5000" w:type="pct"/>
            <w:gridSpan w:val="4"/>
            <w:vAlign w:val="center"/>
          </w:tcPr>
          <w:p w:rsidR="00061970" w:rsidRPr="00061970" w:rsidRDefault="00061970" w:rsidP="00EE2AD9">
            <w:pPr>
              <w:jc w:val="center"/>
              <w:rPr>
                <w:rFonts w:ascii="Arial" w:eastAsia="Calibri" w:hAnsi="Arial" w:cs="Arial"/>
                <w:b/>
                <w:sz w:val="16"/>
                <w:szCs w:val="16"/>
                <w:highlight w:val="yellow"/>
              </w:rPr>
            </w:pPr>
            <w:r w:rsidRPr="00061970">
              <w:rPr>
                <w:rFonts w:ascii="Arial" w:eastAsia="Calibri" w:hAnsi="Arial" w:cs="Arial"/>
                <w:b/>
                <w:sz w:val="16"/>
                <w:szCs w:val="16"/>
              </w:rPr>
              <w:t>TABELA DE MULTAS - MATERIAIS</w:t>
            </w:r>
          </w:p>
        </w:tc>
      </w:tr>
      <w:tr w:rsidR="00061970" w:rsidRPr="00061970" w:rsidTr="00EE2AD9">
        <w:tblPrEx>
          <w:tblCellMar>
            <w:left w:w="108" w:type="dxa"/>
            <w:right w:w="108" w:type="dxa"/>
          </w:tblCellMar>
          <w:tblLook w:val="04A0" w:firstRow="1" w:lastRow="0" w:firstColumn="1" w:lastColumn="0" w:noHBand="0" w:noVBand="1"/>
        </w:tblPrEx>
        <w:trPr>
          <w:trHeight w:val="170"/>
        </w:trPr>
        <w:tc>
          <w:tcPr>
            <w:tcW w:w="272"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Item</w:t>
            </w:r>
          </w:p>
        </w:tc>
        <w:tc>
          <w:tcPr>
            <w:tcW w:w="3743"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Descrição da Infração</w:t>
            </w:r>
          </w:p>
        </w:tc>
        <w:tc>
          <w:tcPr>
            <w:tcW w:w="344"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Grau</w:t>
            </w:r>
          </w:p>
        </w:tc>
        <w:tc>
          <w:tcPr>
            <w:tcW w:w="641"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Multa*</w:t>
            </w:r>
          </w:p>
        </w:tc>
      </w:tr>
      <w:tr w:rsidR="00061970" w:rsidRPr="00061970" w:rsidTr="00EE2AD9">
        <w:tblPrEx>
          <w:tblCellMar>
            <w:left w:w="108" w:type="dxa"/>
            <w:right w:w="108" w:type="dxa"/>
          </w:tblCellMar>
          <w:tblLook w:val="04A0" w:firstRow="1" w:lastRow="0" w:firstColumn="1" w:lastColumn="0" w:noHBand="0" w:noVBand="1"/>
        </w:tblPrEx>
        <w:trPr>
          <w:trHeight w:val="170"/>
        </w:trPr>
        <w:tc>
          <w:tcPr>
            <w:tcW w:w="272"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01</w:t>
            </w:r>
          </w:p>
        </w:tc>
        <w:tc>
          <w:tcPr>
            <w:tcW w:w="3743"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Permitir situação que crie a possibilidade ou cause danos físico, lesão corporal ou consequências letais; por ocorrência.</w:t>
            </w:r>
          </w:p>
        </w:tc>
        <w:tc>
          <w:tcPr>
            <w:tcW w:w="344"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06</w:t>
            </w:r>
          </w:p>
        </w:tc>
        <w:tc>
          <w:tcPr>
            <w:tcW w:w="641"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4,0% por dia</w:t>
            </w:r>
          </w:p>
        </w:tc>
      </w:tr>
      <w:tr w:rsidR="00061970" w:rsidRPr="00061970" w:rsidTr="00EE2AD9">
        <w:tblPrEx>
          <w:tblCellMar>
            <w:left w:w="108" w:type="dxa"/>
            <w:right w:w="108" w:type="dxa"/>
          </w:tblCellMar>
          <w:tblLook w:val="04A0" w:firstRow="1" w:lastRow="0" w:firstColumn="1" w:lastColumn="0" w:noHBand="0" w:noVBand="1"/>
        </w:tblPrEx>
        <w:trPr>
          <w:trHeight w:val="170"/>
        </w:trPr>
        <w:tc>
          <w:tcPr>
            <w:tcW w:w="272"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02</w:t>
            </w:r>
          </w:p>
        </w:tc>
        <w:tc>
          <w:tcPr>
            <w:tcW w:w="3743" w:type="pct"/>
            <w:vAlign w:val="center"/>
          </w:tcPr>
          <w:p w:rsidR="00061970" w:rsidRPr="00061970" w:rsidRDefault="00061970" w:rsidP="00EE2AD9">
            <w:pPr>
              <w:pStyle w:val="Textodenotaderodap"/>
              <w:jc w:val="center"/>
              <w:rPr>
                <w:rFonts w:ascii="Arial" w:hAnsi="Arial" w:cs="Arial"/>
                <w:sz w:val="16"/>
                <w:szCs w:val="16"/>
              </w:rPr>
            </w:pPr>
            <w:r w:rsidRPr="00061970">
              <w:rPr>
                <w:rFonts w:ascii="Arial" w:hAnsi="Arial" w:cs="Arial"/>
                <w:sz w:val="16"/>
                <w:szCs w:val="16"/>
              </w:rPr>
              <w:t>Suspender ou interromper, salvo por motivo de força maior ou caso fortuito, os fornecimentos dos materiais/bens adquiridos, por dia e por unidade de atendimento;</w:t>
            </w:r>
          </w:p>
        </w:tc>
        <w:tc>
          <w:tcPr>
            <w:tcW w:w="344"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05</w:t>
            </w:r>
          </w:p>
        </w:tc>
        <w:tc>
          <w:tcPr>
            <w:tcW w:w="641"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3,2% por dia</w:t>
            </w:r>
          </w:p>
        </w:tc>
      </w:tr>
      <w:tr w:rsidR="00061970" w:rsidRPr="00061970" w:rsidTr="00EE2AD9">
        <w:tblPrEx>
          <w:tblCellMar>
            <w:left w:w="108" w:type="dxa"/>
            <w:right w:w="108" w:type="dxa"/>
          </w:tblCellMar>
          <w:tblLook w:val="04A0" w:firstRow="1" w:lastRow="0" w:firstColumn="1" w:lastColumn="0" w:noHBand="0" w:noVBand="1"/>
        </w:tblPrEx>
        <w:trPr>
          <w:trHeight w:val="170"/>
        </w:trPr>
        <w:tc>
          <w:tcPr>
            <w:tcW w:w="272"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03</w:t>
            </w:r>
          </w:p>
        </w:tc>
        <w:tc>
          <w:tcPr>
            <w:tcW w:w="3743"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Recusar-se a executar as determinações feitas pela FISCALIZAÇÃO, sem motivo justificado; por ocorrência;</w:t>
            </w:r>
          </w:p>
        </w:tc>
        <w:tc>
          <w:tcPr>
            <w:tcW w:w="344"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04</w:t>
            </w:r>
          </w:p>
        </w:tc>
        <w:tc>
          <w:tcPr>
            <w:tcW w:w="641"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1,6% por dia</w:t>
            </w:r>
          </w:p>
        </w:tc>
      </w:tr>
      <w:tr w:rsidR="00061970" w:rsidRPr="00061970" w:rsidTr="00EE2AD9">
        <w:tblPrEx>
          <w:tblCellMar>
            <w:left w:w="108" w:type="dxa"/>
            <w:right w:w="108" w:type="dxa"/>
          </w:tblCellMar>
          <w:tblLook w:val="04A0" w:firstRow="1" w:lastRow="0" w:firstColumn="1" w:lastColumn="0" w:noHBand="0" w:noVBand="1"/>
        </w:tblPrEx>
        <w:trPr>
          <w:trHeight w:val="170"/>
        </w:trPr>
        <w:tc>
          <w:tcPr>
            <w:tcW w:w="272"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04</w:t>
            </w:r>
          </w:p>
        </w:tc>
        <w:tc>
          <w:tcPr>
            <w:tcW w:w="3743" w:type="pct"/>
            <w:vAlign w:val="center"/>
          </w:tcPr>
          <w:p w:rsidR="00061970" w:rsidRPr="00061970" w:rsidRDefault="00061970" w:rsidP="00EE2AD9">
            <w:pPr>
              <w:pStyle w:val="xl98"/>
              <w:pBdr>
                <w:left w:val="none" w:sz="0" w:space="0" w:color="auto"/>
                <w:bottom w:val="none" w:sz="0" w:space="0" w:color="auto"/>
                <w:right w:val="none" w:sz="0" w:space="0" w:color="auto"/>
              </w:pBdr>
              <w:spacing w:before="0" w:beforeAutospacing="0" w:after="0" w:afterAutospacing="0"/>
              <w:textAlignment w:val="auto"/>
              <w:rPr>
                <w:rFonts w:ascii="Arial" w:hAnsi="Arial" w:cs="Arial"/>
                <w:sz w:val="16"/>
                <w:szCs w:val="16"/>
              </w:rPr>
            </w:pPr>
            <w:r w:rsidRPr="00061970">
              <w:rPr>
                <w:rFonts w:ascii="Arial" w:hAnsi="Arial" w:cs="Arial"/>
                <w:sz w:val="16"/>
                <w:szCs w:val="16"/>
              </w:rPr>
              <w:t>Destruir ou danificar documentos por culpa ou dolo de seus agentes; por ocorrência.</w:t>
            </w:r>
          </w:p>
        </w:tc>
        <w:tc>
          <w:tcPr>
            <w:tcW w:w="344"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05</w:t>
            </w:r>
          </w:p>
        </w:tc>
        <w:tc>
          <w:tcPr>
            <w:tcW w:w="641"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3,2% por dia</w:t>
            </w:r>
          </w:p>
        </w:tc>
      </w:tr>
      <w:tr w:rsidR="00061970" w:rsidRPr="00061970" w:rsidTr="00EE2AD9">
        <w:tblPrEx>
          <w:tblCellMar>
            <w:left w:w="108" w:type="dxa"/>
            <w:right w:w="108" w:type="dxa"/>
          </w:tblCellMar>
          <w:tblLook w:val="04A0" w:firstRow="1" w:lastRow="0" w:firstColumn="1" w:lastColumn="0" w:noHBand="0" w:noVBand="1"/>
        </w:tblPrEx>
        <w:trPr>
          <w:trHeight w:val="170"/>
        </w:trPr>
        <w:tc>
          <w:tcPr>
            <w:tcW w:w="272"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05</w:t>
            </w:r>
          </w:p>
        </w:tc>
        <w:tc>
          <w:tcPr>
            <w:tcW w:w="3743"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Executar a entrega incompleta, paliativo substitutivo como por caráter permanente, ou deixar de providenciar recomposição complementar; por ocorrência.</w:t>
            </w:r>
          </w:p>
        </w:tc>
        <w:tc>
          <w:tcPr>
            <w:tcW w:w="344"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02</w:t>
            </w:r>
          </w:p>
        </w:tc>
        <w:tc>
          <w:tcPr>
            <w:tcW w:w="641"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0,4% por dia</w:t>
            </w:r>
          </w:p>
        </w:tc>
      </w:tr>
      <w:tr w:rsidR="00061970" w:rsidRPr="00061970" w:rsidTr="00EE2AD9">
        <w:tblPrEx>
          <w:tblCellMar>
            <w:left w:w="108" w:type="dxa"/>
            <w:right w:w="108" w:type="dxa"/>
          </w:tblCellMar>
          <w:tblLook w:val="04A0" w:firstRow="1" w:lastRow="0" w:firstColumn="1" w:lastColumn="0" w:noHBand="0" w:noVBand="1"/>
        </w:tblPrEx>
        <w:trPr>
          <w:trHeight w:val="170"/>
        </w:trPr>
        <w:tc>
          <w:tcPr>
            <w:tcW w:w="272" w:type="pct"/>
            <w:tcBorders>
              <w:bottom w:val="single" w:sz="4" w:space="0" w:color="auto"/>
            </w:tcBorders>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06</w:t>
            </w:r>
          </w:p>
        </w:tc>
        <w:tc>
          <w:tcPr>
            <w:tcW w:w="3743" w:type="pct"/>
            <w:tcBorders>
              <w:bottom w:val="single" w:sz="4" w:space="0" w:color="auto"/>
            </w:tcBorders>
            <w:vAlign w:val="center"/>
          </w:tcPr>
          <w:p w:rsidR="00061970" w:rsidRPr="00061970" w:rsidRDefault="00061970" w:rsidP="00EE2AD9">
            <w:pPr>
              <w:jc w:val="center"/>
              <w:rPr>
                <w:rFonts w:ascii="Arial" w:eastAsia="Calibri" w:hAnsi="Arial" w:cs="Arial"/>
                <w:sz w:val="16"/>
                <w:szCs w:val="16"/>
              </w:rPr>
            </w:pPr>
            <w:r w:rsidRPr="00061970">
              <w:rPr>
                <w:rFonts w:ascii="Arial" w:eastAsia="Calibri" w:hAnsi="Arial" w:cs="Arial"/>
                <w:sz w:val="16"/>
                <w:szCs w:val="16"/>
              </w:rPr>
              <w:t>Inexecução total do contrato;</w:t>
            </w:r>
          </w:p>
        </w:tc>
        <w:tc>
          <w:tcPr>
            <w:tcW w:w="344" w:type="pct"/>
            <w:tcBorders>
              <w:bottom w:val="single" w:sz="4" w:space="0" w:color="auto"/>
            </w:tcBorders>
            <w:vAlign w:val="center"/>
          </w:tcPr>
          <w:p w:rsidR="00061970" w:rsidRPr="00061970" w:rsidRDefault="00061970" w:rsidP="00EE2AD9">
            <w:pPr>
              <w:jc w:val="center"/>
              <w:rPr>
                <w:rFonts w:ascii="Arial" w:eastAsia="Calibri" w:hAnsi="Arial" w:cs="Arial"/>
                <w:sz w:val="16"/>
                <w:szCs w:val="16"/>
              </w:rPr>
            </w:pPr>
            <w:r w:rsidRPr="00061970">
              <w:rPr>
                <w:rFonts w:ascii="Arial" w:eastAsia="Calibri" w:hAnsi="Arial" w:cs="Arial"/>
                <w:sz w:val="16"/>
                <w:szCs w:val="16"/>
              </w:rPr>
              <w:t>10</w:t>
            </w:r>
          </w:p>
        </w:tc>
        <w:tc>
          <w:tcPr>
            <w:tcW w:w="641" w:type="pct"/>
            <w:tcBorders>
              <w:bottom w:val="single" w:sz="4" w:space="0" w:color="auto"/>
            </w:tcBorders>
            <w:vAlign w:val="center"/>
          </w:tcPr>
          <w:p w:rsidR="00061970" w:rsidRPr="00061970" w:rsidRDefault="00061970" w:rsidP="00EE2AD9">
            <w:pPr>
              <w:jc w:val="center"/>
              <w:rPr>
                <w:rFonts w:ascii="Arial" w:eastAsia="Calibri" w:hAnsi="Arial" w:cs="Arial"/>
                <w:sz w:val="16"/>
                <w:szCs w:val="16"/>
              </w:rPr>
            </w:pPr>
            <w:r w:rsidRPr="00061970">
              <w:rPr>
                <w:rFonts w:ascii="Arial" w:eastAsia="Calibri" w:hAnsi="Arial" w:cs="Arial"/>
                <w:sz w:val="16"/>
                <w:szCs w:val="16"/>
              </w:rPr>
              <w:t>10 %</w:t>
            </w:r>
          </w:p>
        </w:tc>
      </w:tr>
      <w:tr w:rsidR="00061970" w:rsidRPr="00061970" w:rsidTr="00EE2AD9">
        <w:tblPrEx>
          <w:tblCellMar>
            <w:left w:w="108" w:type="dxa"/>
            <w:right w:w="108" w:type="dxa"/>
          </w:tblCellMar>
          <w:tblLook w:val="04A0" w:firstRow="1" w:lastRow="0" w:firstColumn="1" w:lastColumn="0" w:noHBand="0" w:noVBand="1"/>
        </w:tblPrEx>
        <w:trPr>
          <w:trHeight w:val="170"/>
        </w:trPr>
        <w:tc>
          <w:tcPr>
            <w:tcW w:w="272" w:type="pct"/>
            <w:tcBorders>
              <w:top w:val="single" w:sz="4" w:space="0" w:color="auto"/>
              <w:left w:val="single" w:sz="4" w:space="0" w:color="auto"/>
              <w:bottom w:val="single" w:sz="4" w:space="0" w:color="auto"/>
              <w:right w:val="nil"/>
            </w:tcBorders>
            <w:vAlign w:val="center"/>
          </w:tcPr>
          <w:p w:rsidR="00061970" w:rsidRPr="00061970" w:rsidRDefault="00061970" w:rsidP="00EE2AD9">
            <w:pPr>
              <w:jc w:val="center"/>
              <w:rPr>
                <w:rFonts w:ascii="Arial" w:hAnsi="Arial" w:cs="Arial"/>
                <w:sz w:val="16"/>
                <w:szCs w:val="16"/>
              </w:rPr>
            </w:pPr>
          </w:p>
        </w:tc>
        <w:tc>
          <w:tcPr>
            <w:tcW w:w="3743" w:type="pct"/>
            <w:tcBorders>
              <w:top w:val="single" w:sz="4" w:space="0" w:color="auto"/>
              <w:left w:val="nil"/>
              <w:bottom w:val="single" w:sz="4" w:space="0" w:color="auto"/>
              <w:right w:val="nil"/>
            </w:tcBorders>
            <w:vAlign w:val="center"/>
          </w:tcPr>
          <w:p w:rsidR="00061970" w:rsidRPr="00061970" w:rsidRDefault="00061970" w:rsidP="00EE2AD9">
            <w:pPr>
              <w:jc w:val="center"/>
              <w:rPr>
                <w:rFonts w:ascii="Arial" w:eastAsia="Calibri" w:hAnsi="Arial" w:cs="Arial"/>
                <w:sz w:val="16"/>
                <w:szCs w:val="16"/>
              </w:rPr>
            </w:pPr>
            <w:r w:rsidRPr="00061970">
              <w:rPr>
                <w:rFonts w:ascii="Arial" w:hAnsi="Arial" w:cs="Arial"/>
                <w:sz w:val="16"/>
                <w:szCs w:val="16"/>
              </w:rPr>
              <w:t>Para os itens a seguir, deixar de:</w:t>
            </w:r>
          </w:p>
        </w:tc>
        <w:tc>
          <w:tcPr>
            <w:tcW w:w="344" w:type="pct"/>
            <w:tcBorders>
              <w:top w:val="single" w:sz="4" w:space="0" w:color="auto"/>
              <w:left w:val="nil"/>
              <w:bottom w:val="single" w:sz="4" w:space="0" w:color="auto"/>
              <w:right w:val="nil"/>
            </w:tcBorders>
            <w:vAlign w:val="center"/>
          </w:tcPr>
          <w:p w:rsidR="00061970" w:rsidRPr="00061970" w:rsidRDefault="00061970" w:rsidP="00EE2AD9">
            <w:pPr>
              <w:jc w:val="center"/>
              <w:rPr>
                <w:rFonts w:ascii="Arial" w:eastAsia="Calibri" w:hAnsi="Arial" w:cs="Arial"/>
                <w:sz w:val="16"/>
                <w:szCs w:val="16"/>
              </w:rPr>
            </w:pPr>
          </w:p>
        </w:tc>
        <w:tc>
          <w:tcPr>
            <w:tcW w:w="641" w:type="pct"/>
            <w:tcBorders>
              <w:top w:val="single" w:sz="4" w:space="0" w:color="auto"/>
              <w:left w:val="nil"/>
              <w:bottom w:val="single" w:sz="4" w:space="0" w:color="auto"/>
              <w:right w:val="single" w:sz="4" w:space="0" w:color="auto"/>
            </w:tcBorders>
            <w:vAlign w:val="center"/>
          </w:tcPr>
          <w:p w:rsidR="00061970" w:rsidRPr="00061970" w:rsidRDefault="00061970" w:rsidP="00EE2AD9">
            <w:pPr>
              <w:jc w:val="center"/>
              <w:rPr>
                <w:rFonts w:ascii="Arial" w:eastAsia="Calibri" w:hAnsi="Arial" w:cs="Arial"/>
                <w:sz w:val="16"/>
                <w:szCs w:val="16"/>
              </w:rPr>
            </w:pPr>
          </w:p>
        </w:tc>
      </w:tr>
      <w:tr w:rsidR="00061970" w:rsidRPr="00061970" w:rsidTr="00EE2AD9">
        <w:tblPrEx>
          <w:tblCellMar>
            <w:left w:w="108" w:type="dxa"/>
            <w:right w:w="108" w:type="dxa"/>
          </w:tblCellMar>
          <w:tblLook w:val="04A0" w:firstRow="1" w:lastRow="0" w:firstColumn="1" w:lastColumn="0" w:noHBand="0" w:noVBand="1"/>
        </w:tblPrEx>
        <w:trPr>
          <w:trHeight w:val="170"/>
        </w:trPr>
        <w:tc>
          <w:tcPr>
            <w:tcW w:w="272" w:type="pct"/>
            <w:tcBorders>
              <w:top w:val="single" w:sz="4" w:space="0" w:color="auto"/>
            </w:tcBorders>
            <w:vAlign w:val="center"/>
          </w:tcPr>
          <w:p w:rsidR="00061970" w:rsidRPr="00061970" w:rsidRDefault="00061970" w:rsidP="00EE2AD9">
            <w:pPr>
              <w:jc w:val="center"/>
              <w:rPr>
                <w:rFonts w:ascii="Arial" w:eastAsia="Calibri" w:hAnsi="Arial" w:cs="Arial"/>
                <w:sz w:val="16"/>
                <w:szCs w:val="16"/>
              </w:rPr>
            </w:pPr>
            <w:r w:rsidRPr="00061970">
              <w:rPr>
                <w:rFonts w:ascii="Arial" w:eastAsia="Calibri" w:hAnsi="Arial" w:cs="Arial"/>
                <w:sz w:val="16"/>
                <w:szCs w:val="16"/>
              </w:rPr>
              <w:t>07</w:t>
            </w:r>
          </w:p>
        </w:tc>
        <w:tc>
          <w:tcPr>
            <w:tcW w:w="3743" w:type="pct"/>
            <w:vAlign w:val="center"/>
          </w:tcPr>
          <w:p w:rsidR="00061970" w:rsidRPr="00061970" w:rsidRDefault="00061970" w:rsidP="00EE2AD9">
            <w:pPr>
              <w:jc w:val="center"/>
              <w:rPr>
                <w:rFonts w:ascii="Arial" w:hAnsi="Arial" w:cs="Arial"/>
                <w:sz w:val="16"/>
                <w:szCs w:val="16"/>
                <w:highlight w:val="yellow"/>
              </w:rPr>
            </w:pPr>
            <w:r w:rsidRPr="00061970">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344" w:type="pct"/>
            <w:vAlign w:val="center"/>
          </w:tcPr>
          <w:p w:rsidR="00061970" w:rsidRPr="00061970" w:rsidRDefault="00061970" w:rsidP="00EE2AD9">
            <w:pPr>
              <w:jc w:val="center"/>
              <w:rPr>
                <w:rFonts w:ascii="Arial" w:hAnsi="Arial" w:cs="Arial"/>
                <w:sz w:val="16"/>
                <w:szCs w:val="16"/>
                <w:highlight w:val="yellow"/>
              </w:rPr>
            </w:pPr>
            <w:r w:rsidRPr="00061970">
              <w:rPr>
                <w:rFonts w:ascii="Arial" w:hAnsi="Arial" w:cs="Arial"/>
                <w:sz w:val="16"/>
                <w:szCs w:val="16"/>
              </w:rPr>
              <w:t>03</w:t>
            </w:r>
          </w:p>
        </w:tc>
        <w:tc>
          <w:tcPr>
            <w:tcW w:w="641"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0,8% por dia</w:t>
            </w:r>
          </w:p>
        </w:tc>
      </w:tr>
      <w:tr w:rsidR="00061970" w:rsidRPr="00061970" w:rsidTr="00EE2AD9">
        <w:tblPrEx>
          <w:tblCellMar>
            <w:left w:w="108" w:type="dxa"/>
            <w:right w:w="108" w:type="dxa"/>
          </w:tblCellMar>
          <w:tblLook w:val="04A0" w:firstRow="1" w:lastRow="0" w:firstColumn="1" w:lastColumn="0" w:noHBand="0" w:noVBand="1"/>
        </w:tblPrEx>
        <w:trPr>
          <w:trHeight w:val="170"/>
        </w:trPr>
        <w:tc>
          <w:tcPr>
            <w:tcW w:w="272" w:type="pct"/>
            <w:vAlign w:val="center"/>
          </w:tcPr>
          <w:p w:rsidR="00061970" w:rsidRPr="00061970" w:rsidRDefault="00061970" w:rsidP="00EE2AD9">
            <w:pPr>
              <w:jc w:val="center"/>
              <w:rPr>
                <w:rFonts w:ascii="Arial" w:eastAsia="Calibri" w:hAnsi="Arial" w:cs="Arial"/>
                <w:sz w:val="16"/>
                <w:szCs w:val="16"/>
              </w:rPr>
            </w:pPr>
            <w:r w:rsidRPr="00061970">
              <w:rPr>
                <w:rFonts w:ascii="Arial" w:eastAsia="Calibri" w:hAnsi="Arial" w:cs="Arial"/>
                <w:sz w:val="16"/>
                <w:szCs w:val="16"/>
              </w:rPr>
              <w:t>08</w:t>
            </w:r>
          </w:p>
        </w:tc>
        <w:tc>
          <w:tcPr>
            <w:tcW w:w="3743"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Cumprir determinação formal ou instrução complementar da FISCALIZAÇÃO, por ocorrência;</w:t>
            </w:r>
          </w:p>
        </w:tc>
        <w:tc>
          <w:tcPr>
            <w:tcW w:w="344"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03</w:t>
            </w:r>
          </w:p>
        </w:tc>
        <w:tc>
          <w:tcPr>
            <w:tcW w:w="641"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0,8% por dia</w:t>
            </w:r>
          </w:p>
        </w:tc>
      </w:tr>
      <w:tr w:rsidR="00061970" w:rsidRPr="00061970" w:rsidTr="00EE2AD9">
        <w:tblPrEx>
          <w:tblCellMar>
            <w:left w:w="108" w:type="dxa"/>
            <w:right w:w="108" w:type="dxa"/>
          </w:tblCellMar>
          <w:tblLook w:val="04A0" w:firstRow="1" w:lastRow="0" w:firstColumn="1" w:lastColumn="0" w:noHBand="0" w:noVBand="1"/>
        </w:tblPrEx>
        <w:trPr>
          <w:trHeight w:val="170"/>
        </w:trPr>
        <w:tc>
          <w:tcPr>
            <w:tcW w:w="272" w:type="pct"/>
            <w:vAlign w:val="center"/>
          </w:tcPr>
          <w:p w:rsidR="00061970" w:rsidRPr="00061970" w:rsidRDefault="00061970" w:rsidP="00EE2AD9">
            <w:pPr>
              <w:jc w:val="center"/>
              <w:rPr>
                <w:rFonts w:ascii="Arial" w:eastAsia="Calibri" w:hAnsi="Arial" w:cs="Arial"/>
                <w:sz w:val="16"/>
                <w:szCs w:val="16"/>
              </w:rPr>
            </w:pPr>
            <w:r w:rsidRPr="00061970">
              <w:rPr>
                <w:rFonts w:ascii="Arial" w:eastAsia="Calibri" w:hAnsi="Arial" w:cs="Arial"/>
                <w:sz w:val="16"/>
                <w:szCs w:val="16"/>
              </w:rPr>
              <w:t>09</w:t>
            </w:r>
          </w:p>
        </w:tc>
        <w:tc>
          <w:tcPr>
            <w:tcW w:w="3743"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Iniciar a entrega nos prazos estabelecidos, observados os limites mínimos estabelecidos por este Contrato; por item, por ocorrência.</w:t>
            </w:r>
          </w:p>
        </w:tc>
        <w:tc>
          <w:tcPr>
            <w:tcW w:w="344"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02</w:t>
            </w:r>
          </w:p>
        </w:tc>
        <w:tc>
          <w:tcPr>
            <w:tcW w:w="641"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0,2% por dia</w:t>
            </w:r>
          </w:p>
        </w:tc>
      </w:tr>
      <w:tr w:rsidR="00061970" w:rsidRPr="00061970" w:rsidTr="00EE2AD9">
        <w:tblPrEx>
          <w:tblCellMar>
            <w:left w:w="108" w:type="dxa"/>
            <w:right w:w="108" w:type="dxa"/>
          </w:tblCellMar>
          <w:tblLook w:val="04A0" w:firstRow="1" w:lastRow="0" w:firstColumn="1" w:lastColumn="0" w:noHBand="0" w:noVBand="1"/>
        </w:tblPrEx>
        <w:trPr>
          <w:trHeight w:val="170"/>
        </w:trPr>
        <w:tc>
          <w:tcPr>
            <w:tcW w:w="272" w:type="pct"/>
            <w:vAlign w:val="center"/>
          </w:tcPr>
          <w:p w:rsidR="00061970" w:rsidRPr="00061970" w:rsidRDefault="00061970" w:rsidP="00EE2AD9">
            <w:pPr>
              <w:jc w:val="center"/>
              <w:rPr>
                <w:rFonts w:ascii="Arial" w:eastAsia="Calibri" w:hAnsi="Arial" w:cs="Arial"/>
                <w:sz w:val="16"/>
                <w:szCs w:val="16"/>
              </w:rPr>
            </w:pPr>
            <w:r w:rsidRPr="00061970">
              <w:rPr>
                <w:rFonts w:ascii="Arial" w:eastAsia="Calibri" w:hAnsi="Arial" w:cs="Arial"/>
                <w:sz w:val="16"/>
                <w:szCs w:val="16"/>
              </w:rPr>
              <w:t>10</w:t>
            </w:r>
          </w:p>
        </w:tc>
        <w:tc>
          <w:tcPr>
            <w:tcW w:w="3743"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Ressarcir o órgão por eventuais danos causados por sua culpa;</w:t>
            </w:r>
          </w:p>
        </w:tc>
        <w:tc>
          <w:tcPr>
            <w:tcW w:w="344"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02</w:t>
            </w:r>
          </w:p>
        </w:tc>
        <w:tc>
          <w:tcPr>
            <w:tcW w:w="641"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0,4% por dia</w:t>
            </w:r>
          </w:p>
        </w:tc>
      </w:tr>
      <w:tr w:rsidR="00061970" w:rsidRPr="00061970" w:rsidTr="00EE2AD9">
        <w:tblPrEx>
          <w:tblCellMar>
            <w:left w:w="108" w:type="dxa"/>
            <w:right w:w="108" w:type="dxa"/>
          </w:tblCellMar>
          <w:tblLook w:val="04A0" w:firstRow="1" w:lastRow="0" w:firstColumn="1" w:lastColumn="0" w:noHBand="0" w:noVBand="1"/>
        </w:tblPrEx>
        <w:trPr>
          <w:trHeight w:val="170"/>
        </w:trPr>
        <w:tc>
          <w:tcPr>
            <w:tcW w:w="272" w:type="pct"/>
            <w:vAlign w:val="center"/>
          </w:tcPr>
          <w:p w:rsidR="00061970" w:rsidRPr="00061970" w:rsidRDefault="00061970" w:rsidP="00EE2AD9">
            <w:pPr>
              <w:jc w:val="center"/>
              <w:rPr>
                <w:rFonts w:ascii="Arial" w:eastAsia="Calibri" w:hAnsi="Arial" w:cs="Arial"/>
                <w:sz w:val="16"/>
                <w:szCs w:val="16"/>
              </w:rPr>
            </w:pPr>
            <w:r w:rsidRPr="00061970">
              <w:rPr>
                <w:rFonts w:ascii="Arial" w:eastAsia="Calibri" w:hAnsi="Arial" w:cs="Arial"/>
                <w:sz w:val="16"/>
                <w:szCs w:val="16"/>
              </w:rPr>
              <w:t>11</w:t>
            </w:r>
          </w:p>
        </w:tc>
        <w:tc>
          <w:tcPr>
            <w:tcW w:w="3743"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Manter a documentação de habilitação atualizada; por item, por ocorrência.</w:t>
            </w:r>
          </w:p>
        </w:tc>
        <w:tc>
          <w:tcPr>
            <w:tcW w:w="344"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01</w:t>
            </w:r>
          </w:p>
        </w:tc>
        <w:tc>
          <w:tcPr>
            <w:tcW w:w="641" w:type="pct"/>
            <w:vAlign w:val="center"/>
          </w:tcPr>
          <w:p w:rsidR="00061970" w:rsidRPr="00061970" w:rsidRDefault="00061970" w:rsidP="00EE2AD9">
            <w:pPr>
              <w:jc w:val="center"/>
              <w:rPr>
                <w:rFonts w:ascii="Arial" w:hAnsi="Arial" w:cs="Arial"/>
                <w:sz w:val="16"/>
                <w:szCs w:val="16"/>
              </w:rPr>
            </w:pPr>
            <w:r w:rsidRPr="00061970">
              <w:rPr>
                <w:rFonts w:ascii="Arial" w:hAnsi="Arial" w:cs="Arial"/>
                <w:sz w:val="16"/>
                <w:szCs w:val="16"/>
              </w:rPr>
              <w:t>0,2% por dia</w:t>
            </w:r>
          </w:p>
        </w:tc>
      </w:tr>
    </w:tbl>
    <w:p w:rsidR="00750CF1" w:rsidRDefault="00750CF1" w:rsidP="00750CF1">
      <w:pPr>
        <w:pStyle w:val="PargrafodaLista"/>
        <w:ind w:left="0"/>
        <w:contextualSpacing w:val="0"/>
        <w:jc w:val="both"/>
        <w:rPr>
          <w:rFonts w:ascii="Arial" w:hAnsi="Arial" w:cs="Arial"/>
          <w:sz w:val="16"/>
          <w:szCs w:val="16"/>
        </w:rPr>
      </w:pPr>
    </w:p>
    <w:p w:rsidR="00750CF1" w:rsidRDefault="00750CF1" w:rsidP="00750CF1">
      <w:pPr>
        <w:pStyle w:val="PargrafodaLista"/>
        <w:ind w:left="0"/>
        <w:contextualSpacing w:val="0"/>
        <w:jc w:val="both"/>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As sanções aqui previstas poderão ser aplicadas concomitantemente, facultada a defesa prévia do interessado, no respectivo processo, no prazo de 05 (cinco) dias úteis;</w:t>
      </w:r>
    </w:p>
    <w:p w:rsidR="00061970" w:rsidRPr="00061970" w:rsidRDefault="00061970" w:rsidP="00750CF1">
      <w:pPr>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Após 30 (trinta) dias da falta de execução do objeto, será considerada inexecução total do contrato, o que ensejará a rescisão contratual;</w:t>
      </w:r>
    </w:p>
    <w:p w:rsidR="00061970" w:rsidRPr="00061970" w:rsidRDefault="00061970" w:rsidP="00750CF1">
      <w:pPr>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As sanções de natureza pecuniária serão diretamente descontadas de créditos que eventualmente detenha a CONTRATADA ou efetuada a sua cobrança na forma prevista em lei;</w:t>
      </w:r>
    </w:p>
    <w:p w:rsidR="00061970" w:rsidRPr="00061970" w:rsidRDefault="00061970" w:rsidP="00750CF1">
      <w:pPr>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061970" w:rsidRPr="00061970" w:rsidRDefault="00061970" w:rsidP="00750CF1">
      <w:pPr>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A sanção será obrigatoriamente registrada no Sistema de Cadastramento Unificado de Fornecedores – SICAF, bem como em sistemas Estaduais;</w:t>
      </w:r>
    </w:p>
    <w:p w:rsidR="00061970" w:rsidRPr="00061970" w:rsidRDefault="00061970" w:rsidP="00750CF1">
      <w:pPr>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61970" w:rsidRPr="00061970" w:rsidRDefault="00061970" w:rsidP="00750CF1">
      <w:pPr>
        <w:rPr>
          <w:rFonts w:ascii="Arial" w:hAnsi="Arial" w:cs="Arial"/>
          <w:sz w:val="16"/>
          <w:szCs w:val="16"/>
        </w:rPr>
      </w:pPr>
    </w:p>
    <w:p w:rsidR="00061970" w:rsidRPr="00061970" w:rsidRDefault="00061970" w:rsidP="006D6EA0">
      <w:pPr>
        <w:pStyle w:val="PargrafodaLista"/>
        <w:numPr>
          <w:ilvl w:val="0"/>
          <w:numId w:val="2"/>
        </w:numPr>
        <w:ind w:left="0" w:firstLine="0"/>
        <w:contextualSpacing w:val="0"/>
        <w:jc w:val="both"/>
        <w:rPr>
          <w:rFonts w:ascii="Arial" w:hAnsi="Arial" w:cs="Arial"/>
          <w:sz w:val="16"/>
          <w:szCs w:val="16"/>
        </w:rPr>
      </w:pPr>
      <w:proofErr w:type="gramStart"/>
      <w:r w:rsidRPr="00061970">
        <w:rPr>
          <w:rFonts w:ascii="Arial" w:hAnsi="Arial" w:cs="Arial"/>
          <w:sz w:val="16"/>
          <w:szCs w:val="16"/>
        </w:rPr>
        <w:t>tenham</w:t>
      </w:r>
      <w:proofErr w:type="gramEnd"/>
      <w:r w:rsidRPr="00061970">
        <w:rPr>
          <w:rFonts w:ascii="Arial" w:hAnsi="Arial" w:cs="Arial"/>
          <w:sz w:val="16"/>
          <w:szCs w:val="16"/>
        </w:rPr>
        <w:t xml:space="preserve"> sofrido condenações definitivas por praticarem, por meio dolosos, fraude fiscal no recolhimento de tributos;</w:t>
      </w:r>
    </w:p>
    <w:p w:rsidR="00061970" w:rsidRPr="00061970" w:rsidRDefault="00061970" w:rsidP="006D6EA0">
      <w:pPr>
        <w:pStyle w:val="PargrafodaLista"/>
        <w:numPr>
          <w:ilvl w:val="0"/>
          <w:numId w:val="2"/>
        </w:numPr>
        <w:ind w:left="0" w:firstLine="0"/>
        <w:contextualSpacing w:val="0"/>
        <w:jc w:val="both"/>
        <w:rPr>
          <w:rFonts w:ascii="Arial" w:hAnsi="Arial" w:cs="Arial"/>
          <w:sz w:val="16"/>
          <w:szCs w:val="16"/>
        </w:rPr>
      </w:pPr>
      <w:proofErr w:type="gramStart"/>
      <w:r w:rsidRPr="00061970">
        <w:rPr>
          <w:rFonts w:ascii="Arial" w:hAnsi="Arial" w:cs="Arial"/>
          <w:sz w:val="16"/>
          <w:szCs w:val="16"/>
        </w:rPr>
        <w:t>tenham</w:t>
      </w:r>
      <w:proofErr w:type="gramEnd"/>
      <w:r w:rsidRPr="00061970">
        <w:rPr>
          <w:rFonts w:ascii="Arial" w:hAnsi="Arial" w:cs="Arial"/>
          <w:sz w:val="16"/>
          <w:szCs w:val="16"/>
        </w:rPr>
        <w:t xml:space="preserve"> praticado atos ilícitos visando a frustrar os objetivos da licitação;</w:t>
      </w:r>
    </w:p>
    <w:p w:rsidR="00061970" w:rsidRPr="00061970" w:rsidRDefault="00061970" w:rsidP="006D6EA0">
      <w:pPr>
        <w:pStyle w:val="PargrafodaLista"/>
        <w:numPr>
          <w:ilvl w:val="0"/>
          <w:numId w:val="2"/>
        </w:numPr>
        <w:ind w:left="0" w:firstLine="0"/>
        <w:contextualSpacing w:val="0"/>
        <w:jc w:val="both"/>
        <w:rPr>
          <w:rFonts w:ascii="Arial" w:hAnsi="Arial" w:cs="Arial"/>
          <w:sz w:val="16"/>
          <w:szCs w:val="16"/>
        </w:rPr>
      </w:pPr>
      <w:proofErr w:type="gramStart"/>
      <w:r w:rsidRPr="00061970">
        <w:rPr>
          <w:rFonts w:ascii="Arial" w:hAnsi="Arial" w:cs="Arial"/>
          <w:sz w:val="16"/>
          <w:szCs w:val="16"/>
        </w:rPr>
        <w:t>demonstrem</w:t>
      </w:r>
      <w:proofErr w:type="gramEnd"/>
      <w:r w:rsidRPr="00061970">
        <w:rPr>
          <w:rFonts w:ascii="Arial" w:hAnsi="Arial" w:cs="Arial"/>
          <w:sz w:val="16"/>
          <w:szCs w:val="16"/>
        </w:rPr>
        <w:t xml:space="preserve"> não possuir idoneidade para contratar com a Administração em virtude de atos ilícitos praticados.</w:t>
      </w:r>
    </w:p>
    <w:p w:rsidR="00061970" w:rsidRPr="00061970" w:rsidRDefault="00061970" w:rsidP="00750CF1">
      <w:pPr>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61970" w:rsidRPr="00061970" w:rsidRDefault="00061970" w:rsidP="00750CF1">
      <w:pPr>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061970" w:rsidRPr="00061970" w:rsidRDefault="00061970" w:rsidP="00750CF1">
      <w:pPr>
        <w:rPr>
          <w:rFonts w:ascii="Arial" w:hAnsi="Arial" w:cs="Arial"/>
          <w:sz w:val="16"/>
          <w:szCs w:val="16"/>
        </w:rPr>
      </w:pPr>
    </w:p>
    <w:p w:rsidR="00061970" w:rsidRPr="00061970" w:rsidRDefault="00061970" w:rsidP="006D6EA0">
      <w:pPr>
        <w:pStyle w:val="PargrafodaLista"/>
        <w:numPr>
          <w:ilvl w:val="1"/>
          <w:numId w:val="3"/>
        </w:numPr>
        <w:ind w:left="0" w:firstLine="0"/>
        <w:contextualSpacing w:val="0"/>
        <w:jc w:val="both"/>
        <w:rPr>
          <w:rFonts w:ascii="Arial" w:hAnsi="Arial" w:cs="Arial"/>
          <w:sz w:val="16"/>
          <w:szCs w:val="16"/>
        </w:rPr>
      </w:pPr>
      <w:r w:rsidRPr="00061970">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973755" w:rsidRPr="005B6399" w:rsidRDefault="00973755" w:rsidP="0084028F">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lastRenderedPageBreak/>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BA04BA"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124A5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SEDUC</w:t>
      </w:r>
      <w:r w:rsidR="00AB7A9D">
        <w:rPr>
          <w:rFonts w:ascii="Arial" w:hAnsi="Arial" w:cs="Arial"/>
          <w:sz w:val="16"/>
          <w:szCs w:val="16"/>
        </w:rPr>
        <w:t xml:space="preserve"> – </w:t>
      </w:r>
      <w:r>
        <w:rPr>
          <w:rFonts w:ascii="Arial" w:hAnsi="Arial" w:cs="Arial"/>
          <w:sz w:val="16"/>
          <w:szCs w:val="16"/>
        </w:rPr>
        <w:t>Secretaria de Estado de Educação.</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9F39DE"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B6C60B1"/>
    <w:multiLevelType w:val="multilevel"/>
    <w:tmpl w:val="888CE68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2">
    <w:nsid w:val="717561F8"/>
    <w:multiLevelType w:val="hybridMultilevel"/>
    <w:tmpl w:val="02865236"/>
    <w:lvl w:ilvl="0" w:tplc="511E5040">
      <w:start w:val="1"/>
      <w:numFmt w:val="lowerLetter"/>
      <w:suff w:val="space"/>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7C035EBA"/>
    <w:multiLevelType w:val="hybridMultilevel"/>
    <w:tmpl w:val="466AC6E6"/>
    <w:lvl w:ilvl="0" w:tplc="EDD8084A">
      <w:start w:val="1"/>
      <w:numFmt w:val="lowerLetter"/>
      <w:suff w:val="space"/>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562BB"/>
    <w:rsid w:val="00060DA6"/>
    <w:rsid w:val="00061970"/>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5188"/>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EA0"/>
    <w:rsid w:val="006D6FE5"/>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0CF1"/>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47078"/>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75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39DE"/>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C2B5A"/>
    <w:rsid w:val="00BC2F25"/>
    <w:rsid w:val="00BC43A0"/>
    <w:rsid w:val="00BC5DB9"/>
    <w:rsid w:val="00BC78FB"/>
    <w:rsid w:val="00BD144B"/>
    <w:rsid w:val="00BD56FC"/>
    <w:rsid w:val="00BD59B6"/>
    <w:rsid w:val="00BE2572"/>
    <w:rsid w:val="00BE4D18"/>
    <w:rsid w:val="00BF0AC8"/>
    <w:rsid w:val="00BF22BA"/>
    <w:rsid w:val="00BF417F"/>
    <w:rsid w:val="00BF4A4A"/>
    <w:rsid w:val="00BF68FB"/>
    <w:rsid w:val="00C00425"/>
    <w:rsid w:val="00C00DDE"/>
    <w:rsid w:val="00C01DAF"/>
    <w:rsid w:val="00C0407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47A2"/>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4E01"/>
    <w:rsid w:val="00DF670A"/>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aliases w:val="5.Texto de nota de rodapé,3. Texto de nota de rodapé,5.Texto de nota de rodapé Char,5.Texto de nota de rodapé Char Char Char Char,Footnote Text Char,5.Texto de nota de rodapé Char Char Char,Nota de rodapé"/>
    <w:basedOn w:val="Normal"/>
    <w:link w:val="TextodenotaderodapChar"/>
    <w:qFormat/>
    <w:rsid w:val="00061970"/>
  </w:style>
  <w:style w:type="character" w:customStyle="1" w:styleId="TextodenotaderodapChar">
    <w:name w:val="Texto de nota de rodapé Char"/>
    <w:aliases w:val="5.Texto de nota de rodapé Char1,3. Texto de nota de rodapé Char,5.Texto de nota de rodapé Char Char,5.Texto de nota de rodapé Char Char Char Char Char,Footnote Text Char Char,5.Texto de nota de rodapé Char Char Char Char1"/>
    <w:basedOn w:val="Fontepargpadro"/>
    <w:link w:val="Textodenotaderodap"/>
    <w:rsid w:val="00061970"/>
    <w:rPr>
      <w:sz w:val="20"/>
      <w:szCs w:val="20"/>
    </w:rPr>
  </w:style>
  <w:style w:type="paragraph" w:customStyle="1" w:styleId="xl98">
    <w:name w:val="xl98"/>
    <w:basedOn w:val="Normal"/>
    <w:rsid w:val="00061970"/>
    <w:pPr>
      <w:pBdr>
        <w:left w:val="single" w:sz="8" w:space="0" w:color="auto"/>
        <w:bottom w:val="single" w:sz="8" w:space="0" w:color="auto"/>
        <w:right w:val="single" w:sz="8" w:space="0" w:color="auto"/>
      </w:pBdr>
      <w:spacing w:before="100" w:beforeAutospacing="1" w:after="100" w:afterAutospacing="1"/>
      <w:jc w:val="center"/>
      <w:textAlignment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611274&amp;infra_sistema=100000100&amp;infra_unidade_atual=110000213&amp;infra_hash=9931c218ba96c777befd9946f00b66c9a93ee47397ee46012b33f2f0f6258568"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B76F85-CCF9-4002-9C80-E81853041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Pages>
  <Words>3219</Words>
  <Characters>18326</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2018-08-21T14:04:00Z</cp:lastPrinted>
  <dcterms:created xsi:type="dcterms:W3CDTF">2018-08-22T16:17:00Z</dcterms:created>
  <dcterms:modified xsi:type="dcterms:W3CDTF">2018-08-22T17:38:00Z</dcterms:modified>
</cp:coreProperties>
</file>