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14:anchorId="2777CE7A" wp14:editId="3A38E38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66904">
        <w:rPr>
          <w:rFonts w:ascii="Arial" w:hAnsi="Arial" w:cs="Arial"/>
          <w:b/>
          <w:sz w:val="16"/>
          <w:szCs w:val="16"/>
        </w:rPr>
        <w:t>156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66904">
        <w:rPr>
          <w:rFonts w:ascii="Arial" w:hAnsi="Arial" w:cs="Arial"/>
          <w:b/>
          <w:bCs/>
          <w:sz w:val="16"/>
          <w:szCs w:val="16"/>
        </w:rPr>
        <w:t>039</w:t>
      </w:r>
      <w:r w:rsidR="005925DA">
        <w:rPr>
          <w:rFonts w:ascii="Arial" w:hAnsi="Arial" w:cs="Arial"/>
          <w:b/>
          <w:bCs/>
          <w:sz w:val="16"/>
          <w:szCs w:val="16"/>
        </w:rPr>
        <w:t>/201</w:t>
      </w:r>
      <w:r w:rsidR="00BC2F25">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466904" w:rsidRPr="00466904">
        <w:rPr>
          <w:rFonts w:ascii="Arial" w:hAnsi="Arial" w:cs="Arial"/>
          <w:b/>
          <w:bCs/>
          <w:sz w:val="16"/>
          <w:szCs w:val="16"/>
        </w:rPr>
        <w:t>0036.065765/2017-34</w:t>
      </w:r>
    </w:p>
    <w:p w:rsidR="00BE2572" w:rsidRPr="009D74B3" w:rsidRDefault="00BE2572" w:rsidP="009D2314">
      <w:pPr>
        <w:jc w:val="both"/>
        <w:rPr>
          <w:rFonts w:ascii="Arial" w:hAnsi="Arial" w:cs="Arial"/>
          <w:b/>
          <w:bCs/>
          <w:sz w:val="16"/>
          <w:szCs w:val="16"/>
        </w:rPr>
      </w:pPr>
    </w:p>
    <w:p w:rsidR="009D2314" w:rsidRPr="006D1053" w:rsidRDefault="002E300A" w:rsidP="00C87F83">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201DC1">
        <w:rPr>
          <w:rFonts w:ascii="Arial" w:hAnsi="Arial" w:cs="Arial"/>
          <w:b/>
          <w:color w:val="000000" w:themeColor="text1"/>
          <w:sz w:val="16"/>
          <w:szCs w:val="16"/>
        </w:rPr>
        <w:t>REGISTRAR O PREÇ</w:t>
      </w:r>
      <w:r w:rsidR="00F17DD3" w:rsidRPr="00201DC1">
        <w:rPr>
          <w:rFonts w:ascii="Arial" w:hAnsi="Arial" w:cs="Arial"/>
          <w:b/>
          <w:color w:val="000000" w:themeColor="text1"/>
          <w:sz w:val="16"/>
          <w:szCs w:val="16"/>
        </w:rPr>
        <w:t>O</w:t>
      </w:r>
      <w:r w:rsidR="00C87F83">
        <w:rPr>
          <w:rFonts w:ascii="Arial" w:hAnsi="Arial" w:cs="Arial"/>
          <w:b/>
          <w:color w:val="000000" w:themeColor="text1"/>
          <w:sz w:val="16"/>
          <w:szCs w:val="16"/>
        </w:rPr>
        <w:t xml:space="preserve"> </w:t>
      </w:r>
      <w:bookmarkStart w:id="1" w:name="_GoBack"/>
      <w:r w:rsidR="00C87F83" w:rsidRPr="00C87F83">
        <w:rPr>
          <w:rFonts w:ascii="Arial" w:hAnsi="Arial" w:cs="Arial"/>
          <w:color w:val="000000" w:themeColor="text1"/>
          <w:sz w:val="16"/>
          <w:szCs w:val="16"/>
        </w:rPr>
        <w:t>para</w:t>
      </w:r>
      <w:bookmarkEnd w:id="1"/>
      <w:r w:rsidR="00BC2F25" w:rsidRPr="00D87FC7">
        <w:rPr>
          <w:rFonts w:ascii="Arial" w:hAnsi="Arial" w:cs="Arial"/>
          <w:color w:val="000000" w:themeColor="text1"/>
          <w:sz w:val="16"/>
          <w:szCs w:val="16"/>
        </w:rPr>
        <w:t xml:space="preserve"> futura e eventual</w:t>
      </w:r>
      <w:r w:rsidR="00466904">
        <w:rPr>
          <w:rFonts w:ascii="Arial" w:hAnsi="Arial" w:cs="Arial"/>
          <w:color w:val="000000" w:themeColor="text1"/>
          <w:sz w:val="16"/>
          <w:szCs w:val="16"/>
        </w:rPr>
        <w:t xml:space="preserve"> </w:t>
      </w:r>
      <w:r w:rsidR="00466904" w:rsidRPr="00466904">
        <w:rPr>
          <w:rFonts w:ascii="Arial" w:hAnsi="Arial" w:cs="Arial"/>
          <w:color w:val="000000" w:themeColor="text1"/>
          <w:sz w:val="16"/>
          <w:szCs w:val="16"/>
        </w:rPr>
        <w:t>aquisição de equipamentos de proteção individual – EPI’S para atender as necessidades do Complexo Hospitalar Regional de Cacoal - COHREC e Hospital Regional de São Francisco - HRSF, vinculadas à Secretaria de Estado da Saúde</w:t>
      </w:r>
      <w:r w:rsidR="006E566B">
        <w:rPr>
          <w:rFonts w:ascii="Arial" w:hAnsi="Arial" w:cs="Arial"/>
          <w:color w:val="000000" w:themeColor="text1"/>
          <w:sz w:val="16"/>
          <w:szCs w:val="16"/>
        </w:rPr>
        <w:t>/SESAU</w:t>
      </w:r>
      <w:r w:rsidR="00201DC1" w:rsidRPr="00201DC1">
        <w:rPr>
          <w:rFonts w:ascii="Arial" w:hAnsi="Arial" w:cs="Arial"/>
          <w:color w:val="000000" w:themeColor="text1"/>
          <w:sz w:val="16"/>
          <w:szCs w:val="16"/>
        </w:rPr>
        <w:t>,</w:t>
      </w:r>
      <w:r w:rsidR="00DA6607" w:rsidRPr="00DA6607">
        <w:rPr>
          <w:rFonts w:ascii="Arial" w:hAnsi="Arial" w:cs="Arial"/>
          <w:color w:val="000000" w:themeColor="text1"/>
          <w:sz w:val="16"/>
          <w:szCs w:val="16"/>
        </w:rPr>
        <w:t xml:space="preserve"> pelo período de 12 (doze) meses.</w:t>
      </w:r>
      <w:r w:rsidR="00A212A5" w:rsidRPr="00BC2F25">
        <w:rPr>
          <w:rFonts w:ascii="Arial" w:hAnsi="Arial" w:cs="Arial"/>
          <w:color w:val="000000" w:themeColor="text1"/>
          <w:sz w:val="16"/>
          <w:szCs w:val="16"/>
        </w:rPr>
        <w:t xml:space="preserve">,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B7CA1" w:rsidRDefault="007F65D5" w:rsidP="004741FB">
      <w:pPr>
        <w:ind w:right="-1"/>
        <w:jc w:val="both"/>
        <w:rPr>
          <w:rFonts w:ascii="Arial" w:hAnsi="Arial" w:cs="Arial"/>
          <w:b/>
          <w:bCs/>
          <w:sz w:val="16"/>
          <w:szCs w:val="16"/>
        </w:rPr>
      </w:pPr>
      <w:r w:rsidRPr="00BC2F25">
        <w:rPr>
          <w:rFonts w:ascii="Arial" w:hAnsi="Arial" w:cs="Arial"/>
          <w:sz w:val="16"/>
          <w:szCs w:val="16"/>
        </w:rPr>
        <w:t>REGISTRO DE</w:t>
      </w:r>
      <w:r w:rsidR="00DA6607">
        <w:rPr>
          <w:rFonts w:ascii="Arial" w:hAnsi="Arial" w:cs="Arial"/>
          <w:sz w:val="16"/>
          <w:szCs w:val="16"/>
        </w:rPr>
        <w:t xml:space="preserve"> PREÇO de</w:t>
      </w:r>
      <w:r w:rsidRPr="00BC2F25">
        <w:rPr>
          <w:rFonts w:ascii="Arial" w:hAnsi="Arial" w:cs="Arial"/>
          <w:sz w:val="16"/>
          <w:szCs w:val="16"/>
        </w:rPr>
        <w:t xml:space="preserve"> </w:t>
      </w:r>
      <w:r w:rsidR="00DA6607" w:rsidRPr="00D87FC7">
        <w:rPr>
          <w:rFonts w:ascii="Arial" w:hAnsi="Arial" w:cs="Arial"/>
          <w:color w:val="000000" w:themeColor="text1"/>
          <w:sz w:val="16"/>
          <w:szCs w:val="16"/>
        </w:rPr>
        <w:t xml:space="preserve">futura e eventual </w:t>
      </w:r>
      <w:r w:rsidR="00466904" w:rsidRPr="00466904">
        <w:rPr>
          <w:rFonts w:ascii="Arial" w:hAnsi="Arial" w:cs="Arial"/>
          <w:color w:val="000000" w:themeColor="text1"/>
          <w:sz w:val="16"/>
          <w:szCs w:val="16"/>
        </w:rPr>
        <w:t>aquisição de equipamentos de proteção individual – EPI’S para atender as necessidades do Complexo Hospitalar Regional de Cacoal - COHREC e Hospital Regional de São Francisco - HRSF, vinculadas à Secretaria de Estado da Saúde</w:t>
      </w:r>
      <w:r w:rsidR="00466904">
        <w:rPr>
          <w:rFonts w:ascii="Arial" w:hAnsi="Arial" w:cs="Arial"/>
          <w:color w:val="000000" w:themeColor="text1"/>
          <w:sz w:val="16"/>
          <w:szCs w:val="16"/>
        </w:rPr>
        <w:t xml:space="preserve"> – SESAU.</w:t>
      </w:r>
    </w:p>
    <w:p w:rsidR="00BB7CA1" w:rsidRDefault="00BB7CA1"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370" w:rsidRDefault="00206244" w:rsidP="00AB7A9D">
      <w:pPr>
        <w:jc w:val="both"/>
        <w:rPr>
          <w:rFonts w:ascii="Arial" w:hAnsi="Arial" w:cs="Arial"/>
          <w:b/>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1B298D">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466904" w:rsidRPr="00466904">
        <w:rPr>
          <w:rFonts w:ascii="Arial" w:hAnsi="Arial" w:cs="Arial"/>
          <w:sz w:val="16"/>
          <w:szCs w:val="16"/>
        </w:rPr>
        <w:t>A entrega deverá ocorrer conforme solicitação via requisição da Coordenadoria de Almoxarifado e Patrimônio (CAP) com definição da quantidade, no prazo de até 30 (trinta) dias corridos, após emissão da Nota de Empenho.</w:t>
      </w:r>
    </w:p>
    <w:p w:rsidR="00DA6607" w:rsidRPr="001B298D" w:rsidRDefault="00206244" w:rsidP="00256370">
      <w:pPr>
        <w:jc w:val="both"/>
        <w:rPr>
          <w:rFonts w:ascii="Arial" w:hAnsi="Arial" w:cs="Arial"/>
          <w:b/>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DA6607">
        <w:rPr>
          <w:rFonts w:ascii="Arial" w:hAnsi="Arial" w:cs="Arial"/>
          <w:b/>
          <w:sz w:val="16"/>
          <w:szCs w:val="16"/>
        </w:rPr>
        <w:t>DO LOCAL DE ENTREGA:</w:t>
      </w:r>
      <w:r w:rsidRPr="00BE2572">
        <w:rPr>
          <w:rFonts w:ascii="Arial" w:hAnsi="Arial" w:cs="Arial"/>
          <w:sz w:val="16"/>
          <w:szCs w:val="16"/>
        </w:rPr>
        <w:t xml:space="preserve"> </w:t>
      </w:r>
      <w:r w:rsidR="00466904" w:rsidRPr="00466904">
        <w:rPr>
          <w:rFonts w:ascii="Arial" w:hAnsi="Arial" w:cs="Arial"/>
          <w:sz w:val="16"/>
          <w:szCs w:val="16"/>
        </w:rPr>
        <w:t>Os materiais deverão ser entregues na Coordenadoria de Almoxarifado e Patrimônio (CAP), na Rua Aparício de Moraes, nº 4348, ao lado do almoxarifado da AGEVISA e próximo ao CAF II. Funcionamento de segunda a sexta-feira das 7h30min às 13h30min.</w:t>
      </w: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66904"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sidR="00466904" w:rsidRPr="007D479C">
        <w:rPr>
          <w:rFonts w:ascii="Arial" w:hAnsi="Arial" w:cs="Arial"/>
          <w:b/>
          <w:color w:val="000000"/>
          <w:sz w:val="16"/>
          <w:szCs w:val="16"/>
        </w:rPr>
        <w:t>.</w:t>
      </w:r>
      <w:r>
        <w:rPr>
          <w:rFonts w:ascii="Arial" w:hAnsi="Arial" w:cs="Arial"/>
          <w:b/>
          <w:color w:val="000000"/>
          <w:sz w:val="16"/>
          <w:szCs w:val="16"/>
        </w:rPr>
        <w:t>1</w:t>
      </w:r>
      <w:r w:rsidRPr="007D479C">
        <w:rPr>
          <w:rFonts w:ascii="Arial" w:hAnsi="Arial" w:cs="Arial"/>
          <w:b/>
          <w:color w:val="000000"/>
          <w:sz w:val="16"/>
          <w:szCs w:val="16"/>
        </w:rPr>
        <w:t>.</w:t>
      </w:r>
      <w:r w:rsidR="00466904" w:rsidRPr="00466904">
        <w:rPr>
          <w:rFonts w:ascii="Arial" w:hAnsi="Arial" w:cs="Arial"/>
          <w:color w:val="000000"/>
          <w:sz w:val="16"/>
          <w:szCs w:val="16"/>
        </w:rPr>
        <w:t xml:space="preserve"> Sem prejuízo das sanções cominadas no art. 7 da Lei nº 10.520/02, pela inexecução total ou parcial do contrato, a Administração poderá, garantida a prévia e ampla defesa, aplicar à CONTRATADA multa de até 10% (dez por cento) sobre o valor da parte inadimplida. </w:t>
      </w:r>
    </w:p>
    <w:p w:rsidR="00466904"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.2</w:t>
      </w:r>
      <w:r w:rsidRPr="007D479C">
        <w:rPr>
          <w:rFonts w:ascii="Arial" w:hAnsi="Arial" w:cs="Arial"/>
          <w:b/>
          <w:color w:val="000000"/>
          <w:sz w:val="16"/>
          <w:szCs w:val="16"/>
        </w:rPr>
        <w:t>.</w:t>
      </w:r>
      <w:r w:rsidR="00466904" w:rsidRPr="00466904">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.3</w:t>
      </w:r>
      <w:r w:rsidRPr="007D479C">
        <w:rPr>
          <w:rFonts w:ascii="Arial" w:hAnsi="Arial" w:cs="Arial"/>
          <w:b/>
          <w:color w:val="000000"/>
          <w:sz w:val="16"/>
          <w:szCs w:val="16"/>
        </w:rPr>
        <w:t>.</w:t>
      </w:r>
      <w:r w:rsidR="00466904" w:rsidRPr="00466904">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466904" w:rsidRPr="00466904">
        <w:rPr>
          <w:rFonts w:ascii="Arial" w:hAnsi="Arial" w:cs="Arial"/>
          <w:color w:val="000000"/>
          <w:sz w:val="16"/>
          <w:szCs w:val="16"/>
        </w:rPr>
        <w:lastRenderedPageBreak/>
        <w:t xml:space="preserve">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.4</w:t>
      </w:r>
      <w:r w:rsidRPr="007D479C">
        <w:rPr>
          <w:rFonts w:ascii="Arial" w:hAnsi="Arial" w:cs="Arial"/>
          <w:b/>
          <w:color w:val="000000"/>
          <w:sz w:val="16"/>
          <w:szCs w:val="16"/>
        </w:rPr>
        <w:t>.</w:t>
      </w:r>
      <w:r w:rsidR="00466904" w:rsidRPr="00466904">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.5</w:t>
      </w:r>
      <w:r w:rsidRPr="007D479C">
        <w:rPr>
          <w:rFonts w:ascii="Arial" w:hAnsi="Arial" w:cs="Arial"/>
          <w:b/>
          <w:color w:val="000000"/>
          <w:sz w:val="16"/>
          <w:szCs w:val="16"/>
        </w:rPr>
        <w:t>.</w:t>
      </w:r>
      <w:r w:rsidR="00466904" w:rsidRPr="00466904">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.6</w:t>
      </w:r>
      <w:r w:rsidRPr="007D479C">
        <w:rPr>
          <w:rFonts w:ascii="Arial" w:hAnsi="Arial" w:cs="Arial"/>
          <w:b/>
          <w:color w:val="000000"/>
          <w:sz w:val="16"/>
          <w:szCs w:val="16"/>
        </w:rPr>
        <w:t>.</w:t>
      </w:r>
      <w:r w:rsidR="00466904" w:rsidRPr="00466904">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.7</w:t>
      </w:r>
      <w:r w:rsidRPr="007D479C">
        <w:rPr>
          <w:rFonts w:ascii="Arial" w:hAnsi="Arial" w:cs="Arial"/>
          <w:b/>
          <w:color w:val="000000"/>
          <w:sz w:val="16"/>
          <w:szCs w:val="16"/>
        </w:rPr>
        <w:t>.</w:t>
      </w:r>
      <w:r w:rsidR="00466904" w:rsidRPr="00466904">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w:t>
      </w:r>
      <w:r>
        <w:rPr>
          <w:rFonts w:ascii="Arial" w:hAnsi="Arial" w:cs="Arial"/>
          <w:color w:val="000000"/>
          <w:sz w:val="16"/>
          <w:szCs w:val="16"/>
        </w:rPr>
        <w:t xml:space="preserve"> </w:t>
      </w:r>
      <w:r w:rsidRPr="007D479C">
        <w:rPr>
          <w:rFonts w:ascii="Arial" w:hAnsi="Arial" w:cs="Arial"/>
          <w:color w:val="000000"/>
          <w:sz w:val="16"/>
          <w:szCs w:val="16"/>
        </w:rPr>
        <w:t xml:space="preserve">cabível somente até a segunda aplicação (reincidência) para a mesma infração, caso não se verifique a adequação da conduta por parte da CONTRATADA, após o que deverão ser aplicadas sanções de grau mais significativo.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.8</w:t>
      </w:r>
      <w:r w:rsidRPr="007D479C">
        <w:rPr>
          <w:rFonts w:ascii="Arial" w:hAnsi="Arial" w:cs="Arial"/>
          <w:b/>
          <w:color w:val="000000"/>
          <w:sz w:val="16"/>
          <w:szCs w:val="16"/>
        </w:rPr>
        <w:t>.</w:t>
      </w:r>
      <w:r w:rsidRPr="007D479C">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Inexecução total ou parcial do contrato; Apresentação de documentação falsa; Comportamento inidôneo; Fraude fiscal; Descumprimento de qualquer dos deveres elencados no Edital ou no Contrato. </w:t>
      </w:r>
    </w:p>
    <w:p w:rsidR="007D479C"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.9</w:t>
      </w:r>
      <w:r w:rsidRPr="007D479C">
        <w:rPr>
          <w:rFonts w:ascii="Arial" w:hAnsi="Arial" w:cs="Arial"/>
          <w:b/>
          <w:color w:val="000000"/>
          <w:sz w:val="16"/>
          <w:szCs w:val="16"/>
        </w:rPr>
        <w:t>.</w:t>
      </w:r>
      <w:r w:rsidRPr="007D479C">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256370" w:rsidRDefault="007D479C" w:rsidP="00256370">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.10</w:t>
      </w:r>
      <w:r w:rsidRPr="007D479C">
        <w:rPr>
          <w:rFonts w:ascii="Arial" w:hAnsi="Arial" w:cs="Arial"/>
          <w:b/>
          <w:color w:val="000000"/>
          <w:sz w:val="16"/>
          <w:szCs w:val="16"/>
        </w:rPr>
        <w:t>.</w:t>
      </w:r>
      <w:r w:rsidRPr="007D479C">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7D479C" w:rsidRDefault="007D479C" w:rsidP="00256370">
      <w:pPr>
        <w:suppressAutoHyphens/>
        <w:spacing w:line="100" w:lineRule="atLeast"/>
        <w:ind w:right="47"/>
        <w:jc w:val="both"/>
        <w:rPr>
          <w:rFonts w:ascii="Arial" w:hAnsi="Arial" w:cs="Arial"/>
          <w:color w:val="000000"/>
          <w:sz w:val="16"/>
          <w:szCs w:val="1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95"/>
        <w:gridCol w:w="7861"/>
        <w:gridCol w:w="787"/>
        <w:gridCol w:w="1084"/>
      </w:tblGrid>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r w:rsidRPr="007D479C">
              <w:rPr>
                <w:rFonts w:ascii="Arial" w:hAnsi="Arial" w:cs="Arial"/>
                <w:b/>
                <w:bCs/>
                <w:color w:val="000000"/>
                <w:sz w:val="16"/>
                <w:szCs w:val="16"/>
              </w:rPr>
              <w:t>ITEM</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DESCRIÇÃO DA INFRAÇÃO</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GRAU</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MULTA*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1"/>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xml:space="preserve">Permitir situação que crie a possibilidade ou cause </w:t>
            </w:r>
            <w:proofErr w:type="spellStart"/>
            <w:r w:rsidRPr="007D479C">
              <w:rPr>
                <w:rFonts w:ascii="Arial" w:hAnsi="Arial" w:cs="Arial"/>
                <w:color w:val="000000"/>
                <w:sz w:val="16"/>
                <w:szCs w:val="16"/>
              </w:rPr>
              <w:t>dano</w:t>
            </w:r>
            <w:proofErr w:type="spellEnd"/>
            <w:r w:rsidRPr="007D479C">
              <w:rPr>
                <w:rFonts w:ascii="Arial" w:hAnsi="Arial" w:cs="Arial"/>
                <w:color w:val="000000"/>
                <w:sz w:val="16"/>
                <w:szCs w:val="16"/>
              </w:rPr>
              <w:t xml:space="preserve"> físico, lesão corporal ou consequências letais;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06</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4,0%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2"/>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Usar indevidamente informações sigilosas a que teve acesso;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06</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4,0%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3"/>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Recusar-se a entregar os bens determinado pela FISCALIZAÇÃO, sem motivo justificado;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04</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1,6%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4"/>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Realizar entrega incompleta, paliativo substitutivo como por caráter permanente, ou deixar de providenciar recomposição complementar;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02</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0,4%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5"/>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Fornecer informação pérfida quanto ao objeto ou substituição de material;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02</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0,4% por dia</w:t>
            </w:r>
          </w:p>
        </w:tc>
      </w:tr>
      <w:tr w:rsidR="007D479C" w:rsidRPr="007D479C" w:rsidTr="00187006">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Para os itens a seguir, deixar de:</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6"/>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Efetuar reposição de equipamentos danificados, por motivo e por dia;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04</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1,6%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7"/>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03</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0,8%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8"/>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Cumprir determinação formal ou instrução complementar da FISCALIZAÇÃO,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03</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0,8%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9"/>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Iniciar a entrega dos materiais permanentes nos prazos estabelecidos, observados os limites mínimos estabelecidos no Termo de Referência;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02</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0,4%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10"/>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Manter a documentação de habilitação atualizada; por item, por ocorrência.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01</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0,2% por dia</w:t>
            </w:r>
          </w:p>
        </w:tc>
      </w:tr>
      <w:tr w:rsidR="007D479C" w:rsidRPr="007D479C" w:rsidTr="00187006">
        <w:trPr>
          <w:tblCellSpacing w:w="0" w:type="dxa"/>
        </w:trPr>
        <w:tc>
          <w:tcPr>
            <w:tcW w:w="54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numPr>
                <w:ilvl w:val="0"/>
                <w:numId w:val="11"/>
              </w:num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 </w:t>
            </w:r>
          </w:p>
        </w:tc>
        <w:tc>
          <w:tcPr>
            <w:tcW w:w="3597"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proofErr w:type="spellStart"/>
            <w:r w:rsidRPr="007D479C">
              <w:rPr>
                <w:rFonts w:ascii="Arial" w:hAnsi="Arial" w:cs="Arial"/>
                <w:color w:val="000000"/>
                <w:sz w:val="16"/>
                <w:szCs w:val="16"/>
              </w:rPr>
              <w:t>Fornecer</w:t>
            </w:r>
            <w:proofErr w:type="spellEnd"/>
            <w:r w:rsidRPr="007D479C">
              <w:rPr>
                <w:rFonts w:ascii="Arial" w:hAnsi="Arial" w:cs="Arial"/>
                <w:color w:val="000000"/>
                <w:sz w:val="16"/>
                <w:szCs w:val="16"/>
              </w:rPr>
              <w:t xml:space="preserve"> suporte técnico à Contratante, por ocorrência e por dia.</w:t>
            </w:r>
          </w:p>
        </w:tc>
        <w:tc>
          <w:tcPr>
            <w:tcW w:w="360"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01</w:t>
            </w:r>
          </w:p>
        </w:tc>
        <w:tc>
          <w:tcPr>
            <w:tcW w:w="496" w:type="pct"/>
            <w:tcBorders>
              <w:top w:val="outset" w:sz="6" w:space="0" w:color="auto"/>
              <w:left w:val="outset" w:sz="6" w:space="0" w:color="auto"/>
              <w:bottom w:val="outset" w:sz="6" w:space="0" w:color="auto"/>
              <w:right w:val="outset" w:sz="6" w:space="0" w:color="auto"/>
            </w:tcBorders>
            <w:vAlign w:val="center"/>
            <w:hideMark/>
          </w:tcPr>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bCs/>
                <w:color w:val="000000"/>
                <w:sz w:val="16"/>
                <w:szCs w:val="16"/>
              </w:rPr>
              <w:t>0,2% por dia</w:t>
            </w:r>
          </w:p>
        </w:tc>
      </w:tr>
    </w:tbl>
    <w:p w:rsidR="007D479C" w:rsidRDefault="007D479C" w:rsidP="00256370">
      <w:pPr>
        <w:suppressAutoHyphens/>
        <w:spacing w:line="100" w:lineRule="atLeast"/>
        <w:ind w:right="47"/>
        <w:jc w:val="both"/>
        <w:rPr>
          <w:rFonts w:ascii="Arial" w:hAnsi="Arial" w:cs="Arial"/>
          <w:color w:val="000000"/>
          <w:sz w:val="16"/>
          <w:szCs w:val="16"/>
        </w:rPr>
      </w:pP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11</w:t>
      </w:r>
      <w:r w:rsidRPr="007D479C">
        <w:rPr>
          <w:rFonts w:ascii="Arial" w:hAnsi="Arial" w:cs="Arial"/>
          <w:b/>
          <w:color w:val="000000"/>
          <w:sz w:val="16"/>
          <w:szCs w:val="16"/>
        </w:rPr>
        <w:t>.</w:t>
      </w:r>
      <w:r w:rsidRPr="007D479C">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12</w:t>
      </w:r>
      <w:r w:rsidRPr="007D479C">
        <w:rPr>
          <w:rFonts w:ascii="Arial" w:hAnsi="Arial" w:cs="Arial"/>
          <w:b/>
          <w:color w:val="000000"/>
          <w:sz w:val="16"/>
          <w:szCs w:val="16"/>
        </w:rPr>
        <w:t>.</w:t>
      </w:r>
      <w:r w:rsidRPr="007D479C">
        <w:rPr>
          <w:rFonts w:ascii="Arial" w:hAnsi="Arial" w:cs="Arial"/>
          <w:color w:val="000000"/>
          <w:sz w:val="16"/>
          <w:szCs w:val="16"/>
        </w:rPr>
        <w:t xml:space="preserve"> Após 30 (trinta) dias da falta de execução do objeto, será considerada inexecução total do contrato, o que ensejará a rescisão contratual.</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13</w:t>
      </w:r>
      <w:r w:rsidRPr="007D479C">
        <w:rPr>
          <w:rFonts w:ascii="Arial" w:hAnsi="Arial" w:cs="Arial"/>
          <w:b/>
          <w:color w:val="000000"/>
          <w:sz w:val="16"/>
          <w:szCs w:val="16"/>
        </w:rPr>
        <w:t>.</w:t>
      </w:r>
      <w:r w:rsidRPr="007D479C">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14</w:t>
      </w:r>
      <w:r w:rsidRPr="007D479C">
        <w:rPr>
          <w:rFonts w:ascii="Arial" w:hAnsi="Arial" w:cs="Arial"/>
          <w:b/>
          <w:color w:val="000000"/>
          <w:sz w:val="16"/>
          <w:szCs w:val="16"/>
        </w:rPr>
        <w:t>.</w:t>
      </w:r>
      <w:r w:rsidRPr="007D479C">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15</w:t>
      </w:r>
      <w:r w:rsidRPr="007D479C">
        <w:rPr>
          <w:rFonts w:ascii="Arial" w:hAnsi="Arial" w:cs="Arial"/>
          <w:b/>
          <w:color w:val="000000"/>
          <w:sz w:val="16"/>
          <w:szCs w:val="16"/>
        </w:rPr>
        <w:t>.</w:t>
      </w:r>
      <w:r w:rsidRPr="007D479C">
        <w:rPr>
          <w:rFonts w:ascii="Arial" w:hAnsi="Arial" w:cs="Arial"/>
          <w:color w:val="000000"/>
          <w:sz w:val="16"/>
          <w:szCs w:val="16"/>
        </w:rPr>
        <w:t xml:space="preserve"> A autoridade competente, na aplicação das sanções, levará em consideração a gravida</w:t>
      </w:r>
      <w:r>
        <w:rPr>
          <w:rFonts w:ascii="Arial" w:hAnsi="Arial" w:cs="Arial"/>
          <w:color w:val="000000"/>
          <w:sz w:val="16"/>
          <w:szCs w:val="16"/>
        </w:rPr>
        <w:t>de da conduta do infrator, </w:t>
      </w:r>
      <w:r w:rsidRPr="007D479C">
        <w:rPr>
          <w:rFonts w:ascii="Arial" w:hAnsi="Arial" w:cs="Arial"/>
          <w:color w:val="000000"/>
          <w:sz w:val="16"/>
          <w:szCs w:val="16"/>
        </w:rPr>
        <w:t>o caráter educativo da pena, bem como o dano causado à Administração, observado o princípio da proporcionalidade.</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16</w:t>
      </w:r>
      <w:r w:rsidRPr="007D479C">
        <w:rPr>
          <w:rFonts w:ascii="Arial" w:hAnsi="Arial" w:cs="Arial"/>
          <w:b/>
          <w:color w:val="000000"/>
          <w:sz w:val="16"/>
          <w:szCs w:val="16"/>
        </w:rPr>
        <w:t>.</w:t>
      </w:r>
      <w:r w:rsidRPr="007D479C">
        <w:rPr>
          <w:rFonts w:ascii="Arial" w:hAnsi="Arial" w:cs="Arial"/>
          <w:color w:val="000000"/>
          <w:sz w:val="16"/>
          <w:szCs w:val="16"/>
        </w:rPr>
        <w:t xml:space="preserve"> A sanção será obrigatoriamente registrada no Sistema de Cadastramento Unificado de Fornecedores – SICAF, bem como em sistemas Estaduais.</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b/>
          <w:color w:val="000000"/>
          <w:sz w:val="16"/>
          <w:szCs w:val="16"/>
        </w:rPr>
        <w:t>9.</w:t>
      </w:r>
      <w:r>
        <w:rPr>
          <w:rFonts w:ascii="Arial" w:hAnsi="Arial" w:cs="Arial"/>
          <w:b/>
          <w:color w:val="000000"/>
          <w:sz w:val="16"/>
          <w:szCs w:val="16"/>
        </w:rPr>
        <w:t>17</w:t>
      </w:r>
      <w:r w:rsidRPr="007D479C">
        <w:rPr>
          <w:rFonts w:ascii="Arial" w:hAnsi="Arial" w:cs="Arial"/>
          <w:b/>
          <w:color w:val="000000"/>
          <w:sz w:val="16"/>
          <w:szCs w:val="16"/>
        </w:rPr>
        <w:t>.</w:t>
      </w:r>
      <w:r w:rsidRPr="007D479C">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Tenham sofrido condenações definitivas por praticarem, por meio dolosos, fraude fiscal no recolhimento de tributos;</w:t>
      </w:r>
    </w:p>
    <w:p w:rsidR="007D479C" w:rsidRP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Tenham praticado atos ilícitos visando a frustrar os objetivos da licitação;</w:t>
      </w:r>
    </w:p>
    <w:p w:rsidR="007D479C" w:rsidRDefault="007D479C" w:rsidP="007D479C">
      <w:pPr>
        <w:suppressAutoHyphens/>
        <w:spacing w:line="100" w:lineRule="atLeast"/>
        <w:ind w:right="47"/>
        <w:jc w:val="both"/>
        <w:rPr>
          <w:rFonts w:ascii="Arial" w:hAnsi="Arial" w:cs="Arial"/>
          <w:color w:val="000000"/>
          <w:sz w:val="16"/>
          <w:szCs w:val="16"/>
        </w:rPr>
      </w:pPr>
      <w:r w:rsidRPr="007D479C">
        <w:rPr>
          <w:rFonts w:ascii="Arial" w:hAnsi="Arial" w:cs="Arial"/>
          <w:color w:val="000000"/>
          <w:sz w:val="16"/>
          <w:szCs w:val="16"/>
        </w:rPr>
        <w:t>Demonstrem não possuir idoneidade para contratar com a Administração em virtude de atos ilícitos praticados.</w:t>
      </w:r>
    </w:p>
    <w:p w:rsidR="007D479C" w:rsidRPr="00256370" w:rsidRDefault="007D479C" w:rsidP="007D479C">
      <w:pPr>
        <w:suppressAutoHyphens/>
        <w:spacing w:line="100" w:lineRule="atLeast"/>
        <w:ind w:right="47"/>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Default="007D479C" w:rsidP="001D515A">
      <w:pPr>
        <w:rPr>
          <w:rFonts w:ascii="Arial" w:hAnsi="Arial" w:cs="Arial"/>
          <w:color w:val="000000" w:themeColor="text1"/>
          <w:sz w:val="16"/>
          <w:szCs w:val="16"/>
        </w:rPr>
      </w:pPr>
      <w:r>
        <w:rPr>
          <w:rFonts w:ascii="Arial" w:hAnsi="Arial" w:cs="Arial"/>
          <w:color w:val="000000" w:themeColor="text1"/>
          <w:sz w:val="16"/>
          <w:szCs w:val="16"/>
        </w:rPr>
        <w:t>SESAU</w:t>
      </w:r>
      <w:r w:rsidR="00256370">
        <w:rPr>
          <w:rFonts w:ascii="Arial" w:hAnsi="Arial" w:cs="Arial"/>
          <w:color w:val="000000" w:themeColor="text1"/>
          <w:sz w:val="16"/>
          <w:szCs w:val="16"/>
        </w:rPr>
        <w:t xml:space="preserve"> -</w:t>
      </w:r>
      <w:r w:rsidR="00256370" w:rsidRPr="00201DC1">
        <w:rPr>
          <w:rFonts w:ascii="Arial" w:hAnsi="Arial" w:cs="Arial"/>
          <w:color w:val="000000" w:themeColor="text1"/>
          <w:sz w:val="16"/>
          <w:szCs w:val="16"/>
        </w:rPr>
        <w:t xml:space="preserve"> Secretaria de</w:t>
      </w:r>
      <w:r w:rsidR="00256370">
        <w:rPr>
          <w:rFonts w:ascii="Arial" w:hAnsi="Arial" w:cs="Arial"/>
          <w:color w:val="000000" w:themeColor="text1"/>
          <w:sz w:val="16"/>
          <w:szCs w:val="16"/>
        </w:rPr>
        <w:t xml:space="preserve"> Estado da</w:t>
      </w:r>
      <w:r>
        <w:rPr>
          <w:rFonts w:ascii="Arial" w:hAnsi="Arial" w:cs="Arial"/>
          <w:color w:val="000000" w:themeColor="text1"/>
          <w:sz w:val="16"/>
          <w:szCs w:val="16"/>
        </w:rPr>
        <w:t xml:space="preserve"> Saúde</w:t>
      </w:r>
      <w:r w:rsidR="00256370">
        <w:rPr>
          <w:rFonts w:ascii="Arial" w:hAnsi="Arial" w:cs="Arial"/>
          <w:color w:val="000000" w:themeColor="text1"/>
          <w:sz w:val="16"/>
          <w:szCs w:val="16"/>
        </w:rPr>
        <w:t>.</w:t>
      </w:r>
    </w:p>
    <w:p w:rsidR="00256370" w:rsidRPr="009A54D1" w:rsidRDefault="00256370"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lvlOverride w:ilvl="0">
      <w:startOverride w:val="2"/>
    </w:lvlOverride>
  </w:num>
  <w:num w:numId="3">
    <w:abstractNumId w:val="3"/>
    <w:lvlOverride w:ilvl="0">
      <w:startOverride w:val="3"/>
    </w:lvlOverride>
  </w:num>
  <w:num w:numId="4">
    <w:abstractNumId w:val="9"/>
    <w:lvlOverride w:ilvl="0">
      <w:startOverride w:val="4"/>
    </w:lvlOverride>
  </w:num>
  <w:num w:numId="5">
    <w:abstractNumId w:val="8"/>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1"/>
    <w:lvlOverride w:ilvl="0">
      <w:startOverride w:val="9"/>
    </w:lvlOverride>
  </w:num>
  <w:num w:numId="10">
    <w:abstractNumId w:val="10"/>
    <w:lvlOverride w:ilvl="0">
      <w:startOverride w:val="10"/>
    </w:lvlOverride>
  </w:num>
  <w:num w:numId="11">
    <w:abstractNumId w:val="4"/>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C0E6F-1831-420B-BE94-22CE62A4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3040</Words>
  <Characters>17089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2018-05-16T14:10:00Z</cp:lastPrinted>
  <dcterms:created xsi:type="dcterms:W3CDTF">2018-07-24T16:10:00Z</dcterms:created>
  <dcterms:modified xsi:type="dcterms:W3CDTF">2018-07-25T15:06:00Z</dcterms:modified>
</cp:coreProperties>
</file>