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D723A" w:rsidRPr="007B2BCE">
        <w:rPr>
          <w:rFonts w:ascii="Arial" w:hAnsi="Arial" w:cs="Arial"/>
          <w:b/>
          <w:color w:val="FF0000"/>
          <w:sz w:val="16"/>
          <w:szCs w:val="16"/>
        </w:rPr>
        <w:t>08</w:t>
      </w:r>
      <w:r w:rsidR="008F5A20">
        <w:rPr>
          <w:rFonts w:ascii="Arial" w:hAnsi="Arial" w:cs="Arial"/>
          <w:b/>
          <w:color w:val="FF0000"/>
          <w:sz w:val="16"/>
          <w:szCs w:val="16"/>
        </w:rPr>
        <w:t>9</w:t>
      </w:r>
      <w:r w:rsidR="00CF6980" w:rsidRPr="007B2BCE">
        <w:rPr>
          <w:rFonts w:ascii="Arial" w:hAnsi="Arial" w:cs="Arial"/>
          <w:b/>
          <w:color w:val="FF0000"/>
          <w:sz w:val="16"/>
          <w:szCs w:val="16"/>
        </w:rPr>
        <w:t>/</w:t>
      </w:r>
      <w:r w:rsidR="00300900" w:rsidRPr="007B2BCE">
        <w:rPr>
          <w:rFonts w:ascii="Arial" w:hAnsi="Arial" w:cs="Arial"/>
          <w:b/>
          <w:color w:val="FF0000"/>
          <w:sz w:val="16"/>
          <w:szCs w:val="16"/>
        </w:rPr>
        <w:t>201</w:t>
      </w:r>
      <w:r w:rsidR="000E1818" w:rsidRPr="007B2BCE">
        <w:rPr>
          <w:rFonts w:ascii="Arial" w:hAnsi="Arial" w:cs="Arial"/>
          <w:b/>
          <w:color w:val="FF0000"/>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512C8F" w:rsidRPr="007B2BCE">
        <w:rPr>
          <w:rFonts w:ascii="Arial" w:hAnsi="Arial" w:cs="Arial"/>
          <w:b/>
          <w:bCs/>
          <w:color w:val="FF0000"/>
          <w:sz w:val="16"/>
          <w:szCs w:val="16"/>
        </w:rPr>
        <w:t>0</w:t>
      </w:r>
      <w:r w:rsidR="008F5A20">
        <w:rPr>
          <w:rFonts w:ascii="Arial" w:hAnsi="Arial" w:cs="Arial"/>
          <w:b/>
          <w:bCs/>
          <w:color w:val="FF0000"/>
          <w:sz w:val="16"/>
          <w:szCs w:val="16"/>
        </w:rPr>
        <w:t>95</w:t>
      </w:r>
      <w:r w:rsidR="00512C8F" w:rsidRPr="007B2BCE">
        <w:rPr>
          <w:rFonts w:ascii="Arial" w:hAnsi="Arial" w:cs="Arial"/>
          <w:b/>
          <w:bCs/>
          <w:color w:val="FF0000"/>
          <w:sz w:val="16"/>
          <w:szCs w:val="16"/>
        </w:rPr>
        <w:t>/2018</w:t>
      </w:r>
    </w:p>
    <w:p w:rsidR="000F74A8" w:rsidRPr="003413DE" w:rsidRDefault="009D2314" w:rsidP="009D2314">
      <w:pPr>
        <w:jc w:val="both"/>
        <w:rPr>
          <w:rFonts w:ascii="Arial" w:hAnsi="Arial" w:cs="Arial"/>
          <w:b/>
          <w:bCs/>
          <w:color w:val="FF0000"/>
          <w:sz w:val="16"/>
          <w:szCs w:val="16"/>
        </w:rPr>
      </w:pPr>
      <w:r w:rsidRPr="00FF1F0B">
        <w:rPr>
          <w:rFonts w:ascii="Arial" w:hAnsi="Arial" w:cs="Arial"/>
          <w:b/>
          <w:bCs/>
          <w:sz w:val="16"/>
          <w:szCs w:val="16"/>
        </w:rPr>
        <w:t>PROCESSO</w:t>
      </w:r>
      <w:r w:rsidR="00512C8F">
        <w:rPr>
          <w:rFonts w:ascii="Arial" w:hAnsi="Arial" w:cs="Arial"/>
          <w:b/>
          <w:bCs/>
          <w:sz w:val="16"/>
          <w:szCs w:val="16"/>
        </w:rPr>
        <w:t xml:space="preserve"> Nº </w:t>
      </w:r>
      <w:hyperlink r:id="rId9" w:tgtFrame="ifrVisualizacao" w:history="1">
        <w:r w:rsidR="008F5A20" w:rsidRPr="008F5A20">
          <w:rPr>
            <w:rFonts w:ascii="Arial" w:hAnsi="Arial" w:cs="Arial"/>
            <w:b/>
            <w:sz w:val="16"/>
            <w:szCs w:val="16"/>
          </w:rPr>
          <w:t>0037</w:t>
        </w:r>
        <w:r w:rsidR="008F5A20" w:rsidRPr="008F5A20">
          <w:rPr>
            <w:rFonts w:ascii="Arial" w:hAnsi="Arial" w:cs="Arial"/>
            <w:b/>
            <w:bCs/>
            <w:sz w:val="16"/>
            <w:szCs w:val="16"/>
          </w:rPr>
          <w:t>.009289/2017-</w:t>
        </w:r>
        <w:r w:rsidR="008F5A20" w:rsidRPr="008F5A20">
          <w:rPr>
            <w:rFonts w:ascii="Arial" w:hAnsi="Arial" w:cs="Arial"/>
            <w:b/>
            <w:sz w:val="16"/>
            <w:szCs w:val="16"/>
          </w:rPr>
          <w:t>61</w:t>
        </w:r>
        <w:r w:rsidR="008F5A20" w:rsidRPr="008F5A20">
          <w:rPr>
            <w:b/>
            <w:bCs/>
            <w:sz w:val="16"/>
            <w:szCs w:val="16"/>
          </w:rPr>
          <w:t> </w:t>
        </w:r>
      </w:hyperlink>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 xml:space="preserve">AV. </w:t>
      </w:r>
      <w:r w:rsidRPr="00C81384">
        <w:rPr>
          <w:rFonts w:ascii="Arial" w:hAnsi="Arial" w:cs="Arial"/>
          <w:color w:val="000000"/>
          <w:sz w:val="16"/>
          <w:szCs w:val="16"/>
        </w:rPr>
        <w:t>FARQUAR N° 2986 COMPLEXO RIO MADEIRA EDIFÍCIO</w:t>
      </w:r>
      <w:r w:rsidR="00624815" w:rsidRPr="00C81384">
        <w:rPr>
          <w:rFonts w:ascii="Arial" w:hAnsi="Arial" w:cs="Arial"/>
          <w:color w:val="000000"/>
          <w:sz w:val="16"/>
          <w:szCs w:val="16"/>
        </w:rPr>
        <w:t xml:space="preserve">, </w:t>
      </w:r>
      <w:r w:rsidRPr="00C81384">
        <w:rPr>
          <w:rFonts w:ascii="Arial" w:hAnsi="Arial" w:cs="Arial"/>
          <w:color w:val="000000"/>
          <w:sz w:val="16"/>
          <w:szCs w:val="16"/>
        </w:rPr>
        <w:t xml:space="preserve">RIO </w:t>
      </w:r>
      <w:r w:rsidR="00DE2D9B" w:rsidRPr="00C81384">
        <w:rPr>
          <w:rFonts w:ascii="Arial" w:hAnsi="Arial" w:cs="Arial"/>
          <w:color w:val="000000"/>
          <w:sz w:val="16"/>
          <w:szCs w:val="16"/>
        </w:rPr>
        <w:t>PACAÁS NOVOS 2</w:t>
      </w:r>
      <w:r w:rsidRPr="00C81384">
        <w:rPr>
          <w:rFonts w:ascii="Arial" w:hAnsi="Arial" w:cs="Arial"/>
          <w:color w:val="000000"/>
          <w:sz w:val="16"/>
          <w:szCs w:val="16"/>
        </w:rPr>
        <w:t>º ANDAR – BAIRRO: PEDRINHAS</w:t>
      </w:r>
      <w:r w:rsidRPr="00512C8F">
        <w:rPr>
          <w:rFonts w:ascii="Arial" w:hAnsi="Arial" w:cs="Arial"/>
          <w:color w:val="000000"/>
          <w:sz w:val="16"/>
          <w:szCs w:val="16"/>
        </w:rPr>
        <w:t xml:space="preserve">, neste ato representado pelo </w:t>
      </w:r>
      <w:r w:rsidRPr="00C81384">
        <w:rPr>
          <w:rFonts w:ascii="Arial" w:hAnsi="Arial" w:cs="Arial"/>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C81384">
        <w:rPr>
          <w:rFonts w:ascii="Arial" w:hAnsi="Arial" w:cs="Arial"/>
          <w:color w:val="000000"/>
          <w:sz w:val="16"/>
          <w:szCs w:val="16"/>
        </w:rPr>
        <w:t>REGISTRAR O PREÇ</w:t>
      </w:r>
      <w:r w:rsidR="00F17DD3" w:rsidRPr="00C81384">
        <w:rPr>
          <w:rFonts w:ascii="Arial" w:hAnsi="Arial" w:cs="Arial"/>
          <w:color w:val="000000"/>
          <w:sz w:val="16"/>
          <w:szCs w:val="16"/>
        </w:rPr>
        <w:t>O</w:t>
      </w:r>
      <w:r w:rsidR="00512C8F" w:rsidRPr="00C81384">
        <w:rPr>
          <w:rFonts w:ascii="Arial" w:hAnsi="Arial" w:cs="Arial"/>
          <w:color w:val="000000"/>
          <w:sz w:val="16"/>
          <w:szCs w:val="16"/>
        </w:rPr>
        <w:t xml:space="preserve"> </w:t>
      </w:r>
      <w:r w:rsidR="00512C8F" w:rsidRPr="00512C8F">
        <w:rPr>
          <w:rFonts w:ascii="Arial" w:hAnsi="Arial" w:cs="Arial"/>
          <w:color w:val="000000"/>
          <w:sz w:val="16"/>
          <w:szCs w:val="16"/>
        </w:rPr>
        <w:t xml:space="preserve">para futura e eventual aquisição </w:t>
      </w:r>
      <w:r w:rsidR="008A2F09" w:rsidRPr="008A2F09">
        <w:rPr>
          <w:rFonts w:ascii="Arial" w:hAnsi="Arial" w:cs="Arial"/>
          <w:bCs/>
          <w:sz w:val="16"/>
          <w:szCs w:val="16"/>
        </w:rPr>
        <w:t>câmera</w:t>
      </w:r>
      <w:r w:rsidR="008A2F09" w:rsidRPr="008A2F09">
        <w:rPr>
          <w:rFonts w:ascii="Arial" w:hAnsi="Arial" w:cs="Arial"/>
          <w:b/>
          <w:bCs/>
          <w:sz w:val="16"/>
          <w:szCs w:val="16"/>
        </w:rPr>
        <w:t xml:space="preserve"> </w:t>
      </w:r>
      <w:r w:rsidR="008A2F09" w:rsidRPr="008A2F09">
        <w:rPr>
          <w:rFonts w:ascii="Arial" w:hAnsi="Arial" w:cs="Arial"/>
          <w:bCs/>
          <w:sz w:val="16"/>
          <w:szCs w:val="16"/>
        </w:rPr>
        <w:t>fotográfica</w:t>
      </w:r>
      <w:r w:rsidR="008A2F09" w:rsidRPr="008A2F09">
        <w:rPr>
          <w:rFonts w:ascii="Arial" w:hAnsi="Arial" w:cs="Arial"/>
          <w:b/>
          <w:bCs/>
          <w:sz w:val="16"/>
          <w:szCs w:val="16"/>
        </w:rPr>
        <w:t xml:space="preserve"> </w:t>
      </w:r>
      <w:r w:rsidR="008A2F09" w:rsidRPr="008A2F09">
        <w:rPr>
          <w:rFonts w:ascii="Arial" w:hAnsi="Arial" w:cs="Arial"/>
          <w:bCs/>
          <w:sz w:val="16"/>
          <w:szCs w:val="16"/>
        </w:rPr>
        <w:t>digital</w:t>
      </w:r>
      <w:r w:rsidR="008A2F09" w:rsidRPr="008A2F09">
        <w:rPr>
          <w:rFonts w:ascii="Arial" w:hAnsi="Arial" w:cs="Arial"/>
          <w:color w:val="000000"/>
          <w:sz w:val="16"/>
          <w:szCs w:val="16"/>
        </w:rPr>
        <w:t xml:space="preserve">, e seus acessórios, visando atender necessidades do Instituto de Identificação Civil e Criminal da Polícia Civil, (Setor de Perícia </w:t>
      </w:r>
      <w:proofErr w:type="spellStart"/>
      <w:r w:rsidR="008A2F09" w:rsidRPr="008A2F09">
        <w:rPr>
          <w:rFonts w:ascii="Arial" w:hAnsi="Arial" w:cs="Arial"/>
          <w:color w:val="000000"/>
          <w:sz w:val="16"/>
          <w:szCs w:val="16"/>
        </w:rPr>
        <w:t>Papiloscópica</w:t>
      </w:r>
      <w:proofErr w:type="spellEnd"/>
      <w:r w:rsidR="008A2F09" w:rsidRPr="008A2F09">
        <w:rPr>
          <w:rFonts w:ascii="Arial" w:hAnsi="Arial" w:cs="Arial"/>
          <w:color w:val="000000"/>
          <w:sz w:val="16"/>
          <w:szCs w:val="16"/>
        </w:rPr>
        <w:t>)</w:t>
      </w:r>
      <w:r w:rsidR="00FB3AB7">
        <w:rPr>
          <w:rFonts w:ascii="Arial" w:hAnsi="Arial" w:cs="Arial"/>
          <w:color w:val="000000"/>
          <w:sz w:val="16"/>
          <w:szCs w:val="16"/>
        </w:rPr>
        <w:t xml:space="preserve"> - SESDEC</w:t>
      </w:r>
      <w:r w:rsidR="00512C8F" w:rsidRPr="00C81384">
        <w:rPr>
          <w:rFonts w:ascii="Arial" w:hAnsi="Arial" w:cs="Arial"/>
          <w:color w:val="000000"/>
          <w:sz w:val="16"/>
          <w:szCs w:val="16"/>
        </w:rPr>
        <w:t xml:space="preserve">, </w:t>
      </w:r>
      <w:r w:rsidR="00A212A5" w:rsidRPr="00C81384">
        <w:rPr>
          <w:rFonts w:ascii="Arial" w:hAnsi="Arial" w:cs="Arial"/>
          <w:color w:val="000000"/>
          <w:sz w:val="16"/>
          <w:szCs w:val="16"/>
        </w:rPr>
        <w:t xml:space="preserve">para o período de 12 meses, conforme especificação completa no Termo de Referência – Anexo I deste Edital </w:t>
      </w:r>
      <w:r w:rsidRPr="00C81384">
        <w:rPr>
          <w:rFonts w:ascii="Arial" w:hAnsi="Arial" w:cs="Arial"/>
          <w:color w:val="000000"/>
          <w:sz w:val="16"/>
          <w:szCs w:val="16"/>
        </w:rPr>
        <w:t>atendendo as condições previstas no instrumento convocatório e as constantes nesta Ata de Registro de Preços, sujeitando-se as partes às normas constantes da Lei nº.</w:t>
      </w:r>
      <w:r w:rsidRPr="00512C8F">
        <w:rPr>
          <w:rFonts w:ascii="Arial" w:hAnsi="Arial" w:cs="Arial"/>
          <w:color w:val="000000" w:themeColor="text1"/>
          <w:sz w:val="16"/>
          <w:szCs w:val="16"/>
        </w:rPr>
        <w:t xml:space="preserve">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B736F5" w:rsidRDefault="009D2314" w:rsidP="009D2314">
      <w:pPr>
        <w:jc w:val="both"/>
        <w:rPr>
          <w:rFonts w:ascii="Arial" w:hAnsi="Arial" w:cs="Arial"/>
          <w:b/>
          <w:bCs/>
          <w:color w:val="FF0000"/>
          <w:sz w:val="16"/>
          <w:szCs w:val="16"/>
        </w:rPr>
      </w:pPr>
      <w:r w:rsidRPr="00B736F5">
        <w:rPr>
          <w:rFonts w:ascii="Arial" w:hAnsi="Arial" w:cs="Arial"/>
          <w:b/>
          <w:bCs/>
          <w:color w:val="FF0000"/>
          <w:sz w:val="16"/>
          <w:szCs w:val="16"/>
        </w:rPr>
        <w:t>1. DO OBJETO</w:t>
      </w:r>
    </w:p>
    <w:p w:rsidR="008A2F09" w:rsidRDefault="002E300A" w:rsidP="008C7613">
      <w:pPr>
        <w:jc w:val="both"/>
        <w:rPr>
          <w:rFonts w:ascii="Arial" w:hAnsi="Arial" w:cs="Arial"/>
          <w:color w:val="FF0000"/>
          <w:sz w:val="16"/>
          <w:szCs w:val="16"/>
        </w:rPr>
      </w:pPr>
      <w:r w:rsidRPr="00B736F5">
        <w:rPr>
          <w:rFonts w:ascii="Arial" w:hAnsi="Arial" w:cs="Arial"/>
          <w:color w:val="FF0000"/>
          <w:sz w:val="16"/>
          <w:szCs w:val="16"/>
        </w:rPr>
        <w:t>REGISTRAR O PREÇO</w:t>
      </w:r>
      <w:r w:rsidR="00524202" w:rsidRPr="00B736F5">
        <w:rPr>
          <w:rFonts w:ascii="Arial" w:hAnsi="Arial" w:cs="Arial"/>
          <w:color w:val="FF0000"/>
          <w:sz w:val="16"/>
          <w:szCs w:val="16"/>
        </w:rPr>
        <w:t xml:space="preserve"> </w:t>
      </w:r>
      <w:r w:rsidR="00512C8F" w:rsidRPr="00B736F5">
        <w:rPr>
          <w:rFonts w:ascii="Arial" w:hAnsi="Arial" w:cs="Arial"/>
          <w:color w:val="FF0000"/>
          <w:sz w:val="16"/>
          <w:szCs w:val="16"/>
        </w:rPr>
        <w:t>para futura e eventual aquisição</w:t>
      </w:r>
      <w:r w:rsidR="008A2F09">
        <w:rPr>
          <w:rFonts w:ascii="Arial" w:hAnsi="Arial" w:cs="Arial"/>
          <w:color w:val="FF0000"/>
          <w:sz w:val="16"/>
          <w:szCs w:val="16"/>
        </w:rPr>
        <w:t xml:space="preserve"> de</w:t>
      </w:r>
      <w:r w:rsidR="00C81384">
        <w:rPr>
          <w:rFonts w:ascii="Arial" w:hAnsi="Arial" w:cs="Arial"/>
          <w:color w:val="FF0000"/>
          <w:sz w:val="16"/>
          <w:szCs w:val="16"/>
        </w:rPr>
        <w:t xml:space="preserve"> </w:t>
      </w:r>
      <w:r w:rsidR="008A2F09" w:rsidRPr="008A2F09">
        <w:rPr>
          <w:rFonts w:ascii="Arial" w:hAnsi="Arial" w:cs="Arial"/>
          <w:bCs/>
          <w:color w:val="FF0000"/>
          <w:sz w:val="16"/>
          <w:szCs w:val="16"/>
        </w:rPr>
        <w:t>câmera</w:t>
      </w:r>
      <w:r w:rsidR="008A2F09" w:rsidRPr="008A2F09">
        <w:rPr>
          <w:rFonts w:ascii="Arial" w:hAnsi="Arial" w:cs="Arial"/>
          <w:b/>
          <w:bCs/>
          <w:color w:val="FF0000"/>
          <w:sz w:val="16"/>
          <w:szCs w:val="16"/>
        </w:rPr>
        <w:t xml:space="preserve"> </w:t>
      </w:r>
      <w:r w:rsidR="008A2F09" w:rsidRPr="008A2F09">
        <w:rPr>
          <w:rFonts w:ascii="Arial" w:hAnsi="Arial" w:cs="Arial"/>
          <w:bCs/>
          <w:color w:val="FF0000"/>
          <w:sz w:val="16"/>
          <w:szCs w:val="16"/>
        </w:rPr>
        <w:t>fotográfica</w:t>
      </w:r>
      <w:r w:rsidR="008A2F09" w:rsidRPr="008A2F09">
        <w:rPr>
          <w:rFonts w:ascii="Arial" w:hAnsi="Arial" w:cs="Arial"/>
          <w:b/>
          <w:bCs/>
          <w:color w:val="FF0000"/>
          <w:sz w:val="16"/>
          <w:szCs w:val="16"/>
        </w:rPr>
        <w:t xml:space="preserve"> </w:t>
      </w:r>
      <w:r w:rsidR="008A2F09" w:rsidRPr="008A2F09">
        <w:rPr>
          <w:rFonts w:ascii="Arial" w:hAnsi="Arial" w:cs="Arial"/>
          <w:bCs/>
          <w:color w:val="FF0000"/>
          <w:sz w:val="16"/>
          <w:szCs w:val="16"/>
        </w:rPr>
        <w:t>digital</w:t>
      </w:r>
      <w:r w:rsidR="008A2F09" w:rsidRPr="008A2F09">
        <w:rPr>
          <w:rFonts w:ascii="Arial" w:hAnsi="Arial" w:cs="Arial"/>
          <w:color w:val="FF0000"/>
          <w:sz w:val="16"/>
          <w:szCs w:val="16"/>
        </w:rPr>
        <w:t xml:space="preserve">, e seus acessórios, visando atender necessidades do Instituto de Identificação Civil e Criminal da Polícia Civil, (Setor de Perícia </w:t>
      </w:r>
      <w:proofErr w:type="spellStart"/>
      <w:r w:rsidR="008A2F09" w:rsidRPr="008A2F09">
        <w:rPr>
          <w:rFonts w:ascii="Arial" w:hAnsi="Arial" w:cs="Arial"/>
          <w:color w:val="FF0000"/>
          <w:sz w:val="16"/>
          <w:szCs w:val="16"/>
        </w:rPr>
        <w:t>Papiloscópica</w:t>
      </w:r>
      <w:proofErr w:type="spellEnd"/>
      <w:r w:rsidR="008A2F09" w:rsidRPr="008A2F09">
        <w:rPr>
          <w:rFonts w:ascii="Arial" w:hAnsi="Arial" w:cs="Arial"/>
          <w:color w:val="FF0000"/>
          <w:sz w:val="16"/>
          <w:szCs w:val="16"/>
        </w:rPr>
        <w:t>)</w:t>
      </w:r>
      <w:r w:rsidR="00FB3AB7">
        <w:rPr>
          <w:rFonts w:ascii="Arial" w:hAnsi="Arial" w:cs="Arial"/>
          <w:color w:val="FF0000"/>
          <w:sz w:val="16"/>
          <w:szCs w:val="16"/>
        </w:rPr>
        <w:t xml:space="preserve"> - SESDEC</w:t>
      </w:r>
      <w:r w:rsidR="008A2F09">
        <w:rPr>
          <w:rFonts w:ascii="Arial" w:hAnsi="Arial" w:cs="Arial"/>
          <w:color w:val="FF0000"/>
          <w:sz w:val="16"/>
          <w:szCs w:val="16"/>
        </w:rPr>
        <w:t>.</w:t>
      </w:r>
    </w:p>
    <w:p w:rsidR="008A2F09" w:rsidRDefault="008A2F09" w:rsidP="008C7613">
      <w:pPr>
        <w:jc w:val="both"/>
        <w:rPr>
          <w:rFonts w:ascii="Arial" w:hAnsi="Arial" w:cs="Arial"/>
          <w:color w:val="FF0000"/>
          <w:sz w:val="16"/>
          <w:szCs w:val="16"/>
        </w:rPr>
      </w:pPr>
    </w:p>
    <w:p w:rsidR="009D2314" w:rsidRPr="009A54D1" w:rsidRDefault="009D2314" w:rsidP="008C7613">
      <w:pPr>
        <w:jc w:val="both"/>
        <w:rPr>
          <w:rFonts w:ascii="Arial" w:hAnsi="Arial" w:cs="Arial"/>
          <w:b/>
          <w:bCs/>
          <w:sz w:val="16"/>
          <w:szCs w:val="16"/>
        </w:rPr>
      </w:pPr>
      <w:r w:rsidRPr="008A2F09">
        <w:rPr>
          <w:rFonts w:ascii="Arial" w:hAnsi="Arial" w:cs="Arial"/>
          <w:b/>
          <w:sz w:val="16"/>
          <w:szCs w:val="16"/>
        </w:rPr>
        <w:t>2.</w:t>
      </w:r>
      <w:r w:rsidRPr="009A54D1">
        <w:rPr>
          <w:rFonts w:ascii="Arial" w:hAnsi="Arial" w:cs="Arial"/>
          <w:b/>
          <w:bCs/>
          <w:sz w:val="16"/>
          <w:szCs w:val="16"/>
        </w:rPr>
        <w:t xml:space="preserve">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81384" w:rsidRDefault="00206244" w:rsidP="008A2F09">
      <w:pPr>
        <w:ind w:right="120"/>
        <w:jc w:val="both"/>
        <w:rPr>
          <w:rFonts w:ascii="Calibri" w:hAnsi="Calibri"/>
          <w:color w:val="000000"/>
        </w:rPr>
      </w:pPr>
      <w:r w:rsidRPr="00B736F5">
        <w:rPr>
          <w:rFonts w:ascii="Arial" w:hAnsi="Arial" w:cs="Arial"/>
          <w:b/>
          <w:color w:val="FF0000"/>
          <w:sz w:val="16"/>
          <w:szCs w:val="16"/>
        </w:rPr>
        <w:t>6.3.</w:t>
      </w:r>
      <w:r w:rsidRPr="00B736F5">
        <w:rPr>
          <w:rFonts w:ascii="Arial" w:hAnsi="Arial" w:cs="Arial"/>
          <w:color w:val="FF0000"/>
          <w:sz w:val="16"/>
          <w:szCs w:val="16"/>
        </w:rPr>
        <w:t xml:space="preserve"> </w:t>
      </w:r>
      <w:r w:rsidRPr="00B736F5">
        <w:rPr>
          <w:rFonts w:ascii="Arial" w:hAnsi="Arial" w:cs="Arial"/>
          <w:b/>
          <w:color w:val="FF0000"/>
          <w:sz w:val="16"/>
          <w:szCs w:val="16"/>
        </w:rPr>
        <w:t>DO PRAZO DE ENTREGA</w:t>
      </w:r>
      <w:r w:rsidRPr="00FB3AB7">
        <w:rPr>
          <w:rFonts w:ascii="Arial" w:hAnsi="Arial" w:cs="Arial"/>
          <w:sz w:val="16"/>
          <w:szCs w:val="16"/>
        </w:rPr>
        <w:t xml:space="preserve">: </w:t>
      </w:r>
      <w:r w:rsidR="008A2F09" w:rsidRPr="00FB3AB7">
        <w:rPr>
          <w:rFonts w:ascii="Arial" w:hAnsi="Arial" w:cs="Arial"/>
          <w:sz w:val="16"/>
          <w:szCs w:val="16"/>
        </w:rPr>
        <w:t>Os materiais constantes da ordem de fornecimento 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8A2F09" w:rsidRPr="008A2F09" w:rsidRDefault="00206244" w:rsidP="008A2F09">
      <w:pPr>
        <w:ind w:right="120"/>
        <w:jc w:val="both"/>
        <w:rPr>
          <w:rFonts w:ascii="Arial" w:hAnsi="Arial" w:cs="Arial"/>
          <w:color w:val="000000"/>
          <w:sz w:val="16"/>
          <w:szCs w:val="16"/>
        </w:rPr>
      </w:pPr>
      <w:r w:rsidRPr="00B736F5">
        <w:rPr>
          <w:rFonts w:ascii="Arial" w:hAnsi="Arial" w:cs="Arial"/>
          <w:b/>
          <w:color w:val="FF0000"/>
          <w:sz w:val="16"/>
          <w:szCs w:val="16"/>
        </w:rPr>
        <w:t>6.4.</w:t>
      </w:r>
      <w:r w:rsidRPr="00B736F5">
        <w:rPr>
          <w:rFonts w:ascii="Arial" w:hAnsi="Arial" w:cs="Arial"/>
          <w:color w:val="FF0000"/>
          <w:sz w:val="16"/>
          <w:szCs w:val="16"/>
        </w:rPr>
        <w:t xml:space="preserve"> </w:t>
      </w:r>
      <w:r w:rsidRPr="00B736F5">
        <w:rPr>
          <w:rFonts w:ascii="Arial" w:hAnsi="Arial" w:cs="Arial"/>
          <w:b/>
          <w:color w:val="FF0000"/>
          <w:sz w:val="16"/>
          <w:szCs w:val="16"/>
        </w:rPr>
        <w:t>DO LOCAL DE ENTREGA:</w:t>
      </w:r>
      <w:r w:rsidRPr="00C81384">
        <w:rPr>
          <w:rFonts w:ascii="Arial" w:hAnsi="Arial" w:cs="Arial"/>
          <w:b/>
          <w:color w:val="FF0000"/>
          <w:sz w:val="16"/>
          <w:szCs w:val="16"/>
        </w:rPr>
        <w:t xml:space="preserve"> </w:t>
      </w:r>
      <w:r w:rsidR="008A2F09" w:rsidRPr="008A2F09">
        <w:rPr>
          <w:rFonts w:ascii="Arial" w:hAnsi="Arial" w:cs="Arial"/>
          <w:color w:val="000000"/>
          <w:sz w:val="16"/>
          <w:szCs w:val="16"/>
        </w:rPr>
        <w:t>O(s) objeto(s) deverá (</w:t>
      </w:r>
      <w:proofErr w:type="spellStart"/>
      <w:r w:rsidR="008A2F09" w:rsidRPr="008A2F09">
        <w:rPr>
          <w:rFonts w:ascii="Arial" w:hAnsi="Arial" w:cs="Arial"/>
          <w:color w:val="000000"/>
          <w:sz w:val="16"/>
          <w:szCs w:val="16"/>
        </w:rPr>
        <w:t>ão</w:t>
      </w:r>
      <w:proofErr w:type="spellEnd"/>
      <w:r w:rsidR="008A2F09" w:rsidRPr="008A2F09">
        <w:rPr>
          <w:rFonts w:ascii="Arial" w:hAnsi="Arial" w:cs="Arial"/>
          <w:color w:val="000000"/>
          <w:sz w:val="16"/>
          <w:szCs w:val="16"/>
        </w:rPr>
        <w:t>) ser entregue Almoxarifado Central do Governo, situado à Rua Monteiro Lobato, nº 5550 – galpão 05. Bairro Jardim Eldorado. CEP: 76.811-776. Porto – Velho/RO. </w:t>
      </w:r>
    </w:p>
    <w:p w:rsidR="008A2F09" w:rsidRDefault="008A2F09" w:rsidP="008A2F09">
      <w:pPr>
        <w:ind w:right="120"/>
        <w:rPr>
          <w:color w:val="000000"/>
          <w:sz w:val="27"/>
          <w:szCs w:val="27"/>
        </w:rPr>
      </w:pPr>
    </w:p>
    <w:p w:rsidR="009D2314" w:rsidRPr="00CF6980" w:rsidRDefault="00A14D66" w:rsidP="008A2F09">
      <w:pPr>
        <w:ind w:right="120"/>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FB3AB7" w:rsidRDefault="006E65B3" w:rsidP="00FB3AB7">
      <w:pPr>
        <w:pStyle w:val="Lista2"/>
        <w:ind w:left="0" w:firstLine="0"/>
        <w:jc w:val="both"/>
        <w:rPr>
          <w:b/>
          <w:bCs/>
          <w:color w:val="FF0000"/>
          <w:sz w:val="16"/>
          <w:szCs w:val="16"/>
        </w:rPr>
      </w:pPr>
      <w:r w:rsidRPr="00ED0120">
        <w:rPr>
          <w:b/>
          <w:bCs/>
          <w:color w:val="FF0000"/>
          <w:sz w:val="16"/>
          <w:szCs w:val="16"/>
        </w:rPr>
        <w:t xml:space="preserve">9. </w:t>
      </w:r>
      <w:r w:rsidR="009D2314" w:rsidRPr="00ED0120">
        <w:rPr>
          <w:b/>
          <w:bCs/>
          <w:color w:val="FF0000"/>
          <w:sz w:val="16"/>
          <w:szCs w:val="16"/>
        </w:rPr>
        <w:t xml:space="preserve">DAS SANÇÕES </w:t>
      </w:r>
    </w:p>
    <w:p w:rsidR="008A2F09" w:rsidRPr="00FB3AB7" w:rsidRDefault="008A2F09" w:rsidP="00FB3AB7">
      <w:pPr>
        <w:rPr>
          <w:rFonts w:ascii="Arial" w:hAnsi="Arial" w:cs="Arial"/>
          <w:b/>
          <w:bCs/>
          <w:color w:val="FF0000"/>
          <w:sz w:val="16"/>
          <w:szCs w:val="16"/>
        </w:rPr>
      </w:pPr>
      <w:r w:rsidRPr="00FB3AB7">
        <w:rPr>
          <w:rFonts w:ascii="Arial" w:hAnsi="Arial" w:cs="Arial"/>
          <w:b/>
          <w:sz w:val="16"/>
          <w:szCs w:val="16"/>
        </w:rPr>
        <w:t>9.1.</w:t>
      </w:r>
      <w:r w:rsidRPr="00FB3AB7">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w:t>
      </w:r>
      <w:r w:rsidR="00FB3AB7" w:rsidRPr="00FB3AB7">
        <w:rPr>
          <w:rFonts w:ascii="Arial" w:hAnsi="Arial" w:cs="Arial"/>
          <w:b/>
          <w:bCs/>
          <w:sz w:val="16"/>
          <w:szCs w:val="16"/>
          <w:u w:val="single"/>
        </w:rPr>
        <w:t>sobre a</w:t>
      </w:r>
      <w:r w:rsidRPr="00FB3AB7">
        <w:rPr>
          <w:rFonts w:ascii="Arial" w:hAnsi="Arial" w:cs="Arial"/>
          <w:b/>
          <w:bCs/>
          <w:sz w:val="16"/>
          <w:szCs w:val="16"/>
          <w:u w:val="single"/>
        </w:rPr>
        <w:t xml:space="preserve"> parcela </w:t>
      </w:r>
      <w:r w:rsidR="00FB3AB7" w:rsidRPr="00FB3AB7">
        <w:rPr>
          <w:rFonts w:ascii="Arial" w:hAnsi="Arial" w:cs="Arial"/>
          <w:b/>
          <w:bCs/>
          <w:sz w:val="16"/>
          <w:szCs w:val="16"/>
          <w:u w:val="single"/>
        </w:rPr>
        <w:t>inadimplida </w:t>
      </w:r>
      <w:r w:rsidR="00FB3AB7" w:rsidRPr="00FB3AB7">
        <w:rPr>
          <w:rFonts w:ascii="Arial" w:hAnsi="Arial" w:cs="Arial"/>
          <w:sz w:val="16"/>
          <w:szCs w:val="16"/>
        </w:rPr>
        <w:t>do</w:t>
      </w:r>
      <w:r w:rsidRPr="00FB3AB7">
        <w:rPr>
          <w:rFonts w:ascii="Arial" w:hAnsi="Arial" w:cs="Arial"/>
          <w:sz w:val="16"/>
          <w:szCs w:val="16"/>
        </w:rPr>
        <w:t xml:space="preserve"> instrumento contratual;</w:t>
      </w:r>
    </w:p>
    <w:p w:rsidR="008A2F09" w:rsidRPr="00FB3AB7" w:rsidRDefault="008A2F09" w:rsidP="00FB3AB7">
      <w:pPr>
        <w:rPr>
          <w:rFonts w:ascii="Arial" w:hAnsi="Arial" w:cs="Arial"/>
          <w:sz w:val="16"/>
          <w:szCs w:val="16"/>
        </w:rPr>
      </w:pPr>
      <w:r w:rsidRPr="00FB3AB7">
        <w:rPr>
          <w:rFonts w:ascii="Arial" w:hAnsi="Arial" w:cs="Arial"/>
          <w:b/>
          <w:sz w:val="16"/>
          <w:szCs w:val="16"/>
        </w:rPr>
        <w:lastRenderedPageBreak/>
        <w:t>9.2.</w:t>
      </w:r>
      <w:r w:rsidRPr="00FB3AB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B3AB7" w:rsidRPr="00FB3AB7" w:rsidRDefault="008A2F09" w:rsidP="00FB3AB7">
      <w:pPr>
        <w:rPr>
          <w:rFonts w:ascii="Arial" w:hAnsi="Arial" w:cs="Arial"/>
          <w:sz w:val="16"/>
          <w:szCs w:val="16"/>
        </w:rPr>
      </w:pPr>
      <w:r w:rsidRPr="00FB3AB7">
        <w:rPr>
          <w:rFonts w:ascii="Arial" w:hAnsi="Arial" w:cs="Arial"/>
          <w:b/>
          <w:sz w:val="16"/>
          <w:szCs w:val="16"/>
        </w:rPr>
        <w:t>9.3.</w:t>
      </w:r>
      <w:r w:rsidRPr="00FB3AB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A2F09" w:rsidRPr="00FB3AB7" w:rsidRDefault="008A2F09" w:rsidP="00FB3AB7">
      <w:pPr>
        <w:rPr>
          <w:rFonts w:ascii="Arial" w:hAnsi="Arial" w:cs="Arial"/>
          <w:sz w:val="16"/>
          <w:szCs w:val="16"/>
        </w:rPr>
      </w:pPr>
      <w:r w:rsidRPr="00FB3AB7">
        <w:rPr>
          <w:rFonts w:ascii="Arial" w:hAnsi="Arial" w:cs="Arial"/>
          <w:b/>
          <w:sz w:val="16"/>
          <w:szCs w:val="16"/>
        </w:rPr>
        <w:t>9.4.</w:t>
      </w:r>
      <w:r w:rsidRPr="00FB3AB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A2F09" w:rsidRPr="00FB3AB7" w:rsidRDefault="008A2F09" w:rsidP="00FB3AB7">
      <w:pPr>
        <w:rPr>
          <w:rFonts w:ascii="Arial" w:hAnsi="Arial" w:cs="Arial"/>
          <w:sz w:val="16"/>
          <w:szCs w:val="16"/>
        </w:rPr>
      </w:pPr>
      <w:r w:rsidRPr="00FB3AB7">
        <w:rPr>
          <w:rFonts w:ascii="Arial" w:hAnsi="Arial" w:cs="Arial"/>
          <w:b/>
          <w:sz w:val="16"/>
          <w:szCs w:val="16"/>
        </w:rPr>
        <w:t>9.5.</w:t>
      </w:r>
      <w:r w:rsidRPr="00FB3AB7">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8A2F09" w:rsidRPr="00FB3AB7" w:rsidRDefault="008A2F09" w:rsidP="00FB3AB7">
      <w:pPr>
        <w:rPr>
          <w:rFonts w:ascii="Arial" w:hAnsi="Arial" w:cs="Arial"/>
          <w:sz w:val="16"/>
          <w:szCs w:val="16"/>
        </w:rPr>
      </w:pPr>
      <w:r w:rsidRPr="00FB3AB7">
        <w:rPr>
          <w:rFonts w:ascii="Arial" w:hAnsi="Arial" w:cs="Arial"/>
          <w:b/>
          <w:sz w:val="16"/>
          <w:szCs w:val="16"/>
        </w:rPr>
        <w:t>9.6.</w:t>
      </w:r>
      <w:r w:rsidRPr="00FB3AB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A2F09" w:rsidRPr="00FB3AB7" w:rsidRDefault="008A2F09" w:rsidP="00FB3AB7">
      <w:pPr>
        <w:rPr>
          <w:rFonts w:ascii="Arial" w:hAnsi="Arial" w:cs="Arial"/>
          <w:sz w:val="16"/>
          <w:szCs w:val="16"/>
        </w:rPr>
      </w:pPr>
      <w:r w:rsidRPr="00FB3AB7">
        <w:rPr>
          <w:rFonts w:ascii="Arial" w:hAnsi="Arial" w:cs="Arial"/>
          <w:b/>
          <w:sz w:val="16"/>
          <w:szCs w:val="16"/>
        </w:rPr>
        <w:t>9.7.</w:t>
      </w:r>
      <w:r w:rsidRPr="00FB3AB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A2F09" w:rsidRPr="00FB3AB7" w:rsidRDefault="008A2F09" w:rsidP="00FB3AB7">
      <w:pPr>
        <w:rPr>
          <w:rFonts w:ascii="Arial" w:hAnsi="Arial" w:cs="Arial"/>
          <w:sz w:val="16"/>
          <w:szCs w:val="16"/>
        </w:rPr>
      </w:pPr>
      <w:r w:rsidRPr="00FB3AB7">
        <w:rPr>
          <w:rFonts w:ascii="Arial" w:hAnsi="Arial" w:cs="Arial"/>
          <w:b/>
          <w:sz w:val="16"/>
          <w:szCs w:val="16"/>
        </w:rPr>
        <w:t>9.8.</w:t>
      </w:r>
      <w:r w:rsidRPr="00FB3AB7">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8A2F09" w:rsidRPr="00FB3AB7" w:rsidRDefault="008A2F09" w:rsidP="00FB3AB7">
      <w:pPr>
        <w:rPr>
          <w:rFonts w:ascii="Arial" w:hAnsi="Arial" w:cs="Arial"/>
          <w:sz w:val="16"/>
          <w:szCs w:val="16"/>
        </w:rPr>
      </w:pPr>
      <w:r w:rsidRPr="00FB3AB7">
        <w:rPr>
          <w:rFonts w:ascii="Arial" w:hAnsi="Arial" w:cs="Arial"/>
          <w:sz w:val="16"/>
          <w:szCs w:val="16"/>
        </w:rPr>
        <w:t>Inexecução total ou parcial do contrato;</w:t>
      </w:r>
    </w:p>
    <w:p w:rsidR="008A2F09" w:rsidRPr="00FB3AB7" w:rsidRDefault="008A2F09" w:rsidP="00FB3AB7">
      <w:pPr>
        <w:rPr>
          <w:rFonts w:ascii="Arial" w:hAnsi="Arial" w:cs="Arial"/>
          <w:sz w:val="16"/>
          <w:szCs w:val="16"/>
        </w:rPr>
      </w:pPr>
      <w:r w:rsidRPr="00FB3AB7">
        <w:rPr>
          <w:rFonts w:ascii="Arial" w:hAnsi="Arial" w:cs="Arial"/>
          <w:sz w:val="16"/>
          <w:szCs w:val="16"/>
        </w:rPr>
        <w:t>Apresentação de documentação falsa;</w:t>
      </w:r>
    </w:p>
    <w:p w:rsidR="008A2F09" w:rsidRPr="00FB3AB7" w:rsidRDefault="008A2F09" w:rsidP="00FB3AB7">
      <w:pPr>
        <w:rPr>
          <w:rFonts w:ascii="Arial" w:hAnsi="Arial" w:cs="Arial"/>
          <w:sz w:val="16"/>
          <w:szCs w:val="16"/>
        </w:rPr>
      </w:pPr>
      <w:r w:rsidRPr="00FB3AB7">
        <w:rPr>
          <w:rFonts w:ascii="Arial" w:hAnsi="Arial" w:cs="Arial"/>
          <w:sz w:val="16"/>
          <w:szCs w:val="16"/>
        </w:rPr>
        <w:t>Comportamento inidôneo;</w:t>
      </w:r>
    </w:p>
    <w:p w:rsidR="008A2F09" w:rsidRPr="00FB3AB7" w:rsidRDefault="008A2F09" w:rsidP="00FB3AB7">
      <w:pPr>
        <w:rPr>
          <w:rFonts w:ascii="Arial" w:hAnsi="Arial" w:cs="Arial"/>
          <w:sz w:val="16"/>
          <w:szCs w:val="16"/>
        </w:rPr>
      </w:pPr>
      <w:r w:rsidRPr="00FB3AB7">
        <w:rPr>
          <w:rFonts w:ascii="Arial" w:hAnsi="Arial" w:cs="Arial"/>
          <w:sz w:val="16"/>
          <w:szCs w:val="16"/>
        </w:rPr>
        <w:t>Fraude fiscal;</w:t>
      </w:r>
    </w:p>
    <w:p w:rsidR="008A2F09" w:rsidRPr="00FB3AB7" w:rsidRDefault="008A2F09" w:rsidP="00FB3AB7">
      <w:pPr>
        <w:rPr>
          <w:rFonts w:ascii="Arial" w:hAnsi="Arial" w:cs="Arial"/>
          <w:sz w:val="16"/>
          <w:szCs w:val="16"/>
        </w:rPr>
      </w:pPr>
      <w:r w:rsidRPr="00FB3AB7">
        <w:rPr>
          <w:rFonts w:ascii="Arial" w:hAnsi="Arial" w:cs="Arial"/>
          <w:sz w:val="16"/>
          <w:szCs w:val="16"/>
        </w:rPr>
        <w:t>Descumprimento de qualquer dos deveres elencados no Edital ou no Contrato.</w:t>
      </w:r>
    </w:p>
    <w:p w:rsidR="008A2F09" w:rsidRPr="00FB3AB7" w:rsidRDefault="008A2F09" w:rsidP="00FB3AB7">
      <w:pPr>
        <w:rPr>
          <w:rFonts w:ascii="Arial" w:hAnsi="Arial" w:cs="Arial"/>
          <w:sz w:val="16"/>
          <w:szCs w:val="16"/>
        </w:rPr>
      </w:pPr>
      <w:r w:rsidRPr="00FB3AB7">
        <w:rPr>
          <w:rFonts w:ascii="Arial" w:hAnsi="Arial" w:cs="Arial"/>
          <w:b/>
          <w:sz w:val="16"/>
          <w:szCs w:val="16"/>
        </w:rPr>
        <w:t>9.9.</w:t>
      </w:r>
      <w:r w:rsidRPr="00FB3AB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8A2F09" w:rsidRDefault="008A2F09" w:rsidP="00FB3AB7">
      <w:pPr>
        <w:rPr>
          <w:rFonts w:ascii="Arial" w:hAnsi="Arial" w:cs="Arial"/>
          <w:sz w:val="16"/>
          <w:szCs w:val="16"/>
        </w:rPr>
      </w:pPr>
      <w:r w:rsidRPr="00FB3AB7">
        <w:rPr>
          <w:rFonts w:ascii="Arial" w:hAnsi="Arial" w:cs="Arial"/>
          <w:b/>
          <w:sz w:val="16"/>
          <w:szCs w:val="16"/>
        </w:rPr>
        <w:t>9.10.</w:t>
      </w:r>
      <w:r w:rsidRPr="00FB3AB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FB3AB7" w:rsidRPr="00FB3AB7" w:rsidRDefault="00FB3AB7" w:rsidP="00FB3AB7">
      <w:pPr>
        <w:rPr>
          <w:rFonts w:ascii="Arial" w:hAnsi="Arial" w:cs="Arial"/>
          <w:sz w:val="16"/>
          <w:szCs w:val="16"/>
        </w:rPr>
      </w:pPr>
    </w:p>
    <w:tbl>
      <w:tblPr>
        <w:tblW w:w="952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1"/>
        <w:gridCol w:w="5994"/>
        <w:gridCol w:w="928"/>
        <w:gridCol w:w="1422"/>
      </w:tblGrid>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b/>
                <w:bCs/>
                <w:color w:val="000000"/>
                <w:sz w:val="16"/>
                <w:szCs w:val="16"/>
              </w:rPr>
              <w:t>ITEM</w:t>
            </w: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b/>
                <w:bCs/>
                <w:color w:val="000000"/>
                <w:sz w:val="16"/>
                <w:szCs w:val="16"/>
              </w:rPr>
              <w:t>DESCRIÇÃO DA INFRAÇÃO</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b/>
                <w:bCs/>
                <w:color w:val="000000"/>
                <w:sz w:val="16"/>
                <w:szCs w:val="16"/>
              </w:rPr>
              <w:t>GRAU</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b/>
                <w:bCs/>
                <w:color w:val="000000"/>
                <w:sz w:val="16"/>
                <w:szCs w:val="16"/>
              </w:rPr>
              <w:t>MULTA*</w:t>
            </w:r>
          </w:p>
        </w:tc>
      </w:tr>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numPr>
                <w:ilvl w:val="0"/>
                <w:numId w:val="45"/>
              </w:numPr>
              <w:spacing w:before="100" w:beforeAutospacing="1" w:after="100" w:afterAutospacing="1"/>
              <w:jc w:val="center"/>
              <w:rPr>
                <w:rFonts w:ascii="Arial" w:hAnsi="Arial" w:cs="Arial"/>
                <w:color w:val="000000"/>
                <w:sz w:val="16"/>
                <w:szCs w:val="16"/>
              </w:rPr>
            </w:pP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 xml:space="preserve">Permitir situação que crie a possibilidade ou cause </w:t>
            </w:r>
            <w:proofErr w:type="spellStart"/>
            <w:r w:rsidRPr="008A2F09">
              <w:rPr>
                <w:rFonts w:ascii="Arial" w:hAnsi="Arial" w:cs="Arial"/>
                <w:color w:val="000000"/>
                <w:sz w:val="16"/>
                <w:szCs w:val="16"/>
              </w:rPr>
              <w:t>dano</w:t>
            </w:r>
            <w:proofErr w:type="spellEnd"/>
            <w:r w:rsidRPr="008A2F09">
              <w:rPr>
                <w:rFonts w:ascii="Arial" w:hAnsi="Arial" w:cs="Arial"/>
                <w:color w:val="000000"/>
                <w:sz w:val="16"/>
                <w:szCs w:val="16"/>
              </w:rPr>
              <w:t xml:space="preserve"> físico, lesão corporal ou consequências letais;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06</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4,0% por dia</w:t>
            </w:r>
          </w:p>
        </w:tc>
      </w:tr>
      <w:tr w:rsidR="008A2F09" w:rsidRPr="008A2F09" w:rsidTr="008A2F09">
        <w:trPr>
          <w:trHeight w:val="600"/>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numPr>
                <w:ilvl w:val="0"/>
                <w:numId w:val="46"/>
              </w:numPr>
              <w:spacing w:before="100" w:beforeAutospacing="1" w:after="100" w:afterAutospacing="1"/>
              <w:jc w:val="center"/>
              <w:rPr>
                <w:rFonts w:ascii="Arial" w:hAnsi="Arial" w:cs="Arial"/>
                <w:color w:val="000000"/>
                <w:sz w:val="16"/>
                <w:szCs w:val="16"/>
              </w:rPr>
            </w:pP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Usar indevidamente informações sigilosas a que teve acesso;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06</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4,0% por dia</w:t>
            </w:r>
          </w:p>
        </w:tc>
      </w:tr>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numPr>
                <w:ilvl w:val="0"/>
                <w:numId w:val="47"/>
              </w:numPr>
              <w:spacing w:before="100" w:beforeAutospacing="1" w:after="100" w:afterAutospacing="1"/>
              <w:jc w:val="center"/>
              <w:rPr>
                <w:rFonts w:ascii="Arial" w:hAnsi="Arial" w:cs="Arial"/>
                <w:color w:val="000000"/>
                <w:sz w:val="16"/>
                <w:szCs w:val="16"/>
              </w:rPr>
            </w:pP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Destruir ou danificar documentos por culpa ou dolo de seus agentes;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05</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3,2% por dia</w:t>
            </w:r>
          </w:p>
        </w:tc>
      </w:tr>
      <w:tr w:rsidR="008A2F09" w:rsidRPr="008A2F09" w:rsidTr="008A2F09">
        <w:trPr>
          <w:tblCellSpacing w:w="0" w:type="dxa"/>
          <w:jc w:val="center"/>
        </w:trPr>
        <w:tc>
          <w:tcPr>
            <w:tcW w:w="9525" w:type="dxa"/>
            <w:gridSpan w:val="4"/>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b/>
                <w:bCs/>
                <w:color w:val="000000"/>
                <w:sz w:val="16"/>
                <w:szCs w:val="16"/>
              </w:rPr>
              <w:t>Para os itens a seguir, deixar de:</w:t>
            </w:r>
          </w:p>
        </w:tc>
      </w:tr>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numPr>
                <w:ilvl w:val="0"/>
                <w:numId w:val="48"/>
              </w:numPr>
              <w:spacing w:before="100" w:beforeAutospacing="1" w:after="100" w:afterAutospacing="1"/>
              <w:jc w:val="center"/>
              <w:rPr>
                <w:rFonts w:ascii="Arial" w:hAnsi="Arial" w:cs="Arial"/>
                <w:color w:val="000000"/>
                <w:sz w:val="16"/>
                <w:szCs w:val="16"/>
              </w:rPr>
            </w:pP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05</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3,2% por dia</w:t>
            </w:r>
          </w:p>
        </w:tc>
      </w:tr>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 xml:space="preserve">   </w:t>
            </w:r>
            <w:r w:rsidRPr="008A2F09">
              <w:rPr>
                <w:rFonts w:ascii="Arial" w:hAnsi="Arial" w:cs="Arial"/>
                <w:color w:val="000000"/>
                <w:sz w:val="16"/>
                <w:szCs w:val="16"/>
              </w:rPr>
              <w:t>5.</w:t>
            </w: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03</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0,8% por dia</w:t>
            </w:r>
          </w:p>
        </w:tc>
      </w:tr>
      <w:tr w:rsidR="008A2F09" w:rsidRPr="008A2F09" w:rsidTr="008A2F09">
        <w:trPr>
          <w:trHeight w:val="225"/>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 xml:space="preserve">   </w:t>
            </w:r>
            <w:r w:rsidRPr="008A2F09">
              <w:rPr>
                <w:rFonts w:ascii="Arial" w:hAnsi="Arial" w:cs="Arial"/>
                <w:color w:val="000000"/>
                <w:sz w:val="16"/>
                <w:szCs w:val="16"/>
              </w:rPr>
              <w:t>6.</w:t>
            </w: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Manter a documentação de habilitação atualizada; por item, por ocorrência.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01</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0,2% por dia</w:t>
            </w:r>
          </w:p>
        </w:tc>
      </w:tr>
      <w:tr w:rsidR="008A2F09" w:rsidRPr="008A2F09" w:rsidTr="008A2F09">
        <w:trPr>
          <w:tblCellSpacing w:w="0" w:type="dxa"/>
          <w:jc w:val="center"/>
        </w:trPr>
        <w:tc>
          <w:tcPr>
            <w:tcW w:w="118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 xml:space="preserve">   </w:t>
            </w:r>
            <w:r w:rsidRPr="008A2F09">
              <w:rPr>
                <w:rFonts w:ascii="Arial" w:hAnsi="Arial" w:cs="Arial"/>
                <w:color w:val="000000"/>
                <w:sz w:val="16"/>
                <w:szCs w:val="16"/>
              </w:rPr>
              <w:t>7.</w:t>
            </w:r>
          </w:p>
        </w:tc>
        <w:tc>
          <w:tcPr>
            <w:tcW w:w="601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rPr>
                <w:rFonts w:ascii="Arial" w:hAnsi="Arial" w:cs="Arial"/>
                <w:color w:val="000000"/>
                <w:sz w:val="16"/>
                <w:szCs w:val="16"/>
              </w:rPr>
            </w:pPr>
            <w:proofErr w:type="spellStart"/>
            <w:r w:rsidRPr="008A2F09">
              <w:rPr>
                <w:rFonts w:ascii="Arial" w:hAnsi="Arial" w:cs="Arial"/>
                <w:color w:val="000000"/>
                <w:sz w:val="16"/>
                <w:szCs w:val="16"/>
              </w:rPr>
              <w:t>Fornecer</w:t>
            </w:r>
            <w:proofErr w:type="spellEnd"/>
            <w:r w:rsidRPr="008A2F09">
              <w:rPr>
                <w:rFonts w:ascii="Arial" w:hAnsi="Arial" w:cs="Arial"/>
                <w:color w:val="000000"/>
                <w:sz w:val="16"/>
                <w:szCs w:val="16"/>
              </w:rPr>
              <w:t xml:space="preserve"> suporte técnico à Contratante e à rede credenciada, por ocorrência e por 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01</w:t>
            </w:r>
          </w:p>
        </w:tc>
        <w:tc>
          <w:tcPr>
            <w:tcW w:w="1425" w:type="dxa"/>
            <w:tcBorders>
              <w:top w:val="outset" w:sz="6" w:space="0" w:color="auto"/>
              <w:left w:val="outset" w:sz="6" w:space="0" w:color="auto"/>
              <w:bottom w:val="outset" w:sz="6" w:space="0" w:color="auto"/>
              <w:right w:val="outset" w:sz="6" w:space="0" w:color="auto"/>
            </w:tcBorders>
            <w:vAlign w:val="center"/>
            <w:hideMark/>
          </w:tcPr>
          <w:p w:rsidR="008A2F09" w:rsidRPr="008A2F09" w:rsidRDefault="008A2F09" w:rsidP="008A2F09">
            <w:pPr>
              <w:spacing w:before="100" w:beforeAutospacing="1" w:after="100" w:afterAutospacing="1"/>
              <w:jc w:val="center"/>
              <w:rPr>
                <w:rFonts w:ascii="Arial" w:hAnsi="Arial" w:cs="Arial"/>
                <w:color w:val="000000"/>
                <w:sz w:val="16"/>
                <w:szCs w:val="16"/>
              </w:rPr>
            </w:pPr>
            <w:r w:rsidRPr="008A2F09">
              <w:rPr>
                <w:rFonts w:ascii="Arial" w:hAnsi="Arial" w:cs="Arial"/>
                <w:color w:val="000000"/>
                <w:sz w:val="16"/>
                <w:szCs w:val="16"/>
              </w:rPr>
              <w:t>0,2% por dia</w:t>
            </w:r>
          </w:p>
        </w:tc>
      </w:tr>
    </w:tbl>
    <w:p w:rsidR="008A2F09" w:rsidRPr="008A2F09" w:rsidRDefault="008A2F09" w:rsidP="008A2F09">
      <w:pPr>
        <w:rPr>
          <w:rFonts w:ascii="Arial" w:hAnsi="Arial" w:cs="Arial"/>
          <w:color w:val="000000"/>
          <w:sz w:val="16"/>
          <w:szCs w:val="16"/>
        </w:rPr>
      </w:pPr>
      <w:r w:rsidRPr="008A2F09">
        <w:rPr>
          <w:rFonts w:ascii="Arial" w:hAnsi="Arial" w:cs="Arial"/>
          <w:color w:val="000000"/>
          <w:sz w:val="16"/>
          <w:szCs w:val="16"/>
        </w:rPr>
        <w:t> </w:t>
      </w:r>
    </w:p>
    <w:p w:rsidR="008A2F09" w:rsidRPr="008A2F09" w:rsidRDefault="008A2F09" w:rsidP="008A2F09">
      <w:pPr>
        <w:spacing w:before="100" w:beforeAutospacing="1" w:after="100" w:afterAutospacing="1"/>
        <w:rPr>
          <w:rFonts w:ascii="Arial" w:hAnsi="Arial" w:cs="Arial"/>
          <w:color w:val="000000"/>
          <w:sz w:val="16"/>
          <w:szCs w:val="16"/>
        </w:rPr>
      </w:pPr>
      <w:r w:rsidRPr="008A2F09">
        <w:rPr>
          <w:rFonts w:ascii="Arial" w:hAnsi="Arial" w:cs="Arial"/>
          <w:color w:val="000000"/>
          <w:sz w:val="16"/>
          <w:szCs w:val="16"/>
        </w:rPr>
        <w:t> </w:t>
      </w:r>
      <w:r w:rsidRPr="008A2F09">
        <w:rPr>
          <w:rFonts w:ascii="Arial" w:hAnsi="Arial" w:cs="Arial"/>
          <w:i/>
          <w:iCs/>
          <w:color w:val="000000"/>
          <w:sz w:val="16"/>
          <w:szCs w:val="16"/>
        </w:rPr>
        <w:t>                          * Incidente sobre o valor remanescente do Contrato.</w:t>
      </w:r>
    </w:p>
    <w:p w:rsidR="008A2F09" w:rsidRPr="00FB3AB7" w:rsidRDefault="008A2F09" w:rsidP="00FB3AB7">
      <w:pPr>
        <w:rPr>
          <w:rFonts w:ascii="Arial" w:hAnsi="Arial" w:cs="Arial"/>
          <w:sz w:val="16"/>
          <w:szCs w:val="16"/>
        </w:rPr>
      </w:pPr>
      <w:r w:rsidRPr="00FB3AB7">
        <w:rPr>
          <w:rFonts w:ascii="Arial" w:hAnsi="Arial" w:cs="Arial"/>
          <w:b/>
          <w:sz w:val="16"/>
          <w:szCs w:val="16"/>
        </w:rPr>
        <w:t>9.11.</w:t>
      </w:r>
      <w:r w:rsidRPr="00FB3AB7">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8A2F09" w:rsidRPr="00FB3AB7" w:rsidRDefault="008A2F09" w:rsidP="00FB3AB7">
      <w:pPr>
        <w:rPr>
          <w:rFonts w:ascii="Arial" w:hAnsi="Arial" w:cs="Arial"/>
          <w:sz w:val="16"/>
          <w:szCs w:val="16"/>
        </w:rPr>
      </w:pPr>
      <w:r w:rsidRPr="00FB3AB7">
        <w:rPr>
          <w:rFonts w:ascii="Arial" w:hAnsi="Arial" w:cs="Arial"/>
          <w:b/>
          <w:sz w:val="16"/>
          <w:szCs w:val="16"/>
        </w:rPr>
        <w:t>9.12</w:t>
      </w:r>
      <w:r w:rsidRPr="00FB3AB7">
        <w:rPr>
          <w:rFonts w:ascii="Arial" w:hAnsi="Arial" w:cs="Arial"/>
          <w:sz w:val="16"/>
          <w:szCs w:val="16"/>
        </w:rPr>
        <w:t>. Após 30 (trinta) dias da falta de execução do objeto, será considerada inexecução total do contrato, o que ensejará a rescisão contratual.</w:t>
      </w:r>
    </w:p>
    <w:p w:rsidR="008A2F09" w:rsidRPr="00FB3AB7" w:rsidRDefault="008A2F09" w:rsidP="00FB3AB7">
      <w:pPr>
        <w:rPr>
          <w:rFonts w:ascii="Arial" w:hAnsi="Arial" w:cs="Arial"/>
          <w:sz w:val="16"/>
          <w:szCs w:val="16"/>
        </w:rPr>
      </w:pPr>
      <w:r w:rsidRPr="00FB3AB7">
        <w:rPr>
          <w:rFonts w:ascii="Arial" w:hAnsi="Arial" w:cs="Arial"/>
          <w:b/>
          <w:sz w:val="16"/>
          <w:szCs w:val="16"/>
        </w:rPr>
        <w:t>9.13.</w:t>
      </w:r>
      <w:r w:rsidRPr="00FB3AB7">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8A2F09" w:rsidRPr="00FB3AB7" w:rsidRDefault="008A2F09" w:rsidP="00FB3AB7">
      <w:pPr>
        <w:rPr>
          <w:rFonts w:ascii="Arial" w:hAnsi="Arial" w:cs="Arial"/>
          <w:sz w:val="16"/>
          <w:szCs w:val="16"/>
        </w:rPr>
      </w:pPr>
      <w:r w:rsidRPr="00FB3AB7">
        <w:rPr>
          <w:rFonts w:ascii="Arial" w:hAnsi="Arial" w:cs="Arial"/>
          <w:b/>
          <w:sz w:val="16"/>
          <w:szCs w:val="16"/>
        </w:rPr>
        <w:t>9.14.</w:t>
      </w:r>
      <w:r w:rsidRPr="00FB3AB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A2F09" w:rsidRPr="00FB3AB7" w:rsidRDefault="008A2F09" w:rsidP="00FB3AB7">
      <w:pPr>
        <w:rPr>
          <w:rFonts w:ascii="Arial" w:hAnsi="Arial" w:cs="Arial"/>
          <w:sz w:val="16"/>
          <w:szCs w:val="16"/>
        </w:rPr>
      </w:pPr>
      <w:r w:rsidRPr="00FB3AB7">
        <w:rPr>
          <w:rFonts w:ascii="Arial" w:hAnsi="Arial" w:cs="Arial"/>
          <w:b/>
          <w:sz w:val="16"/>
          <w:szCs w:val="16"/>
        </w:rPr>
        <w:t>9.15.</w:t>
      </w:r>
      <w:r w:rsidRPr="00FB3AB7">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8A2F09" w:rsidRPr="00FB3AB7" w:rsidRDefault="008A2F09" w:rsidP="00FB3AB7">
      <w:pPr>
        <w:rPr>
          <w:rFonts w:ascii="Arial" w:hAnsi="Arial" w:cs="Arial"/>
          <w:sz w:val="16"/>
          <w:szCs w:val="16"/>
        </w:rPr>
      </w:pPr>
      <w:r w:rsidRPr="00FB3AB7">
        <w:rPr>
          <w:rFonts w:ascii="Arial" w:hAnsi="Arial" w:cs="Arial"/>
          <w:b/>
          <w:sz w:val="16"/>
          <w:szCs w:val="16"/>
        </w:rPr>
        <w:t>9.16.</w:t>
      </w:r>
      <w:r w:rsidRPr="00FB3AB7">
        <w:rPr>
          <w:rFonts w:ascii="Arial" w:hAnsi="Arial" w:cs="Arial"/>
          <w:sz w:val="16"/>
          <w:szCs w:val="16"/>
        </w:rPr>
        <w:t xml:space="preserve"> A sanção será obrigatoriamente registrada no Sistema de Cadastramento Unificado de Fornecedores – SICAF, bem como em sistemas Estaduais.</w:t>
      </w:r>
    </w:p>
    <w:p w:rsidR="008A2F09" w:rsidRPr="00FB3AB7" w:rsidRDefault="008A2F09" w:rsidP="00FB3AB7">
      <w:pPr>
        <w:rPr>
          <w:rFonts w:ascii="Arial" w:hAnsi="Arial" w:cs="Arial"/>
          <w:sz w:val="16"/>
          <w:szCs w:val="16"/>
        </w:rPr>
      </w:pPr>
      <w:r w:rsidRPr="00FB3AB7">
        <w:rPr>
          <w:rFonts w:ascii="Arial" w:hAnsi="Arial" w:cs="Arial"/>
          <w:b/>
          <w:sz w:val="16"/>
          <w:szCs w:val="16"/>
        </w:rPr>
        <w:t>9.17.</w:t>
      </w:r>
      <w:r w:rsidRPr="00FB3AB7">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A2F09" w:rsidRPr="00FB3AB7" w:rsidRDefault="008A2F09" w:rsidP="00FB3AB7">
      <w:pPr>
        <w:rPr>
          <w:rFonts w:ascii="Arial" w:hAnsi="Arial" w:cs="Arial"/>
          <w:sz w:val="16"/>
          <w:szCs w:val="16"/>
        </w:rPr>
      </w:pPr>
      <w:r w:rsidRPr="00FB3AB7">
        <w:rPr>
          <w:rFonts w:ascii="Arial" w:hAnsi="Arial" w:cs="Arial"/>
          <w:sz w:val="16"/>
          <w:szCs w:val="16"/>
        </w:rPr>
        <w:t>a) Tenham sofrido condenações definitivas por praticarem, por meio dolosos, fraude fiscal no recolhimento de tributos;</w:t>
      </w:r>
    </w:p>
    <w:p w:rsidR="008A2F09" w:rsidRPr="00FB3AB7" w:rsidRDefault="008A2F09" w:rsidP="00FB3AB7">
      <w:pPr>
        <w:rPr>
          <w:rFonts w:ascii="Arial" w:hAnsi="Arial" w:cs="Arial"/>
          <w:sz w:val="16"/>
          <w:szCs w:val="16"/>
        </w:rPr>
      </w:pPr>
      <w:r w:rsidRPr="00FB3AB7">
        <w:rPr>
          <w:rFonts w:ascii="Arial" w:hAnsi="Arial" w:cs="Arial"/>
          <w:sz w:val="16"/>
          <w:szCs w:val="16"/>
        </w:rPr>
        <w:t>b) Tenham praticado atos ilícitos visando a frustrar os objetivos da licitação;</w:t>
      </w:r>
    </w:p>
    <w:p w:rsidR="00B379FE" w:rsidRDefault="008A2F09" w:rsidP="00FB3AB7">
      <w:pPr>
        <w:rPr>
          <w:rFonts w:ascii="Arial" w:hAnsi="Arial" w:cs="Arial"/>
          <w:sz w:val="16"/>
          <w:szCs w:val="16"/>
        </w:rPr>
      </w:pPr>
      <w:r w:rsidRPr="00FB3AB7">
        <w:rPr>
          <w:rFonts w:ascii="Arial" w:hAnsi="Arial" w:cs="Arial"/>
          <w:sz w:val="16"/>
          <w:szCs w:val="16"/>
        </w:rPr>
        <w:t>c) Demonstrem não possuir idoneidade para contratar com a Administração em virtude de atos ilícitos praticados.</w:t>
      </w:r>
    </w:p>
    <w:p w:rsidR="00FB3AB7" w:rsidRPr="00FB3AB7" w:rsidRDefault="00FB3AB7" w:rsidP="00FB3AB7">
      <w:pPr>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FB3AB7" w:rsidRDefault="00FB3AB7" w:rsidP="003537BB">
      <w:pPr>
        <w:jc w:val="both"/>
        <w:rPr>
          <w:rFonts w:ascii="Arial" w:hAnsi="Arial" w:cs="Arial"/>
          <w:color w:val="000000"/>
          <w:sz w:val="16"/>
          <w:szCs w:val="16"/>
        </w:rPr>
      </w:pPr>
    </w:p>
    <w:p w:rsidR="00FB3AB7" w:rsidRDefault="00FB3AB7" w:rsidP="003537BB">
      <w:pPr>
        <w:jc w:val="both"/>
        <w:rPr>
          <w:rFonts w:ascii="Arial" w:hAnsi="Arial" w:cs="Arial"/>
          <w:color w:val="000000"/>
          <w:sz w:val="16"/>
          <w:szCs w:val="16"/>
        </w:rPr>
      </w:pPr>
    </w:p>
    <w:p w:rsidR="00FB3AB7" w:rsidRPr="003537BB" w:rsidRDefault="00FB3AB7" w:rsidP="003537BB">
      <w:pPr>
        <w:jc w:val="both"/>
        <w:rPr>
          <w:rFonts w:ascii="Arial" w:hAnsi="Arial" w:cs="Arial"/>
          <w:color w:val="000000"/>
          <w:sz w:val="16"/>
          <w:szCs w:val="16"/>
        </w:rPr>
      </w:pPr>
      <w:bookmarkStart w:id="1" w:name="_GoBack"/>
      <w:bookmarkEnd w:id="1"/>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B736F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B736F5" w:rsidRDefault="008A2F09" w:rsidP="00173314">
      <w:pPr>
        <w:jc w:val="both"/>
        <w:rPr>
          <w:rFonts w:ascii="Arial" w:hAnsi="Arial" w:cs="Arial"/>
          <w:color w:val="FF0000"/>
          <w:sz w:val="16"/>
          <w:szCs w:val="16"/>
        </w:rPr>
      </w:pPr>
      <w:r>
        <w:rPr>
          <w:rFonts w:ascii="Arial" w:hAnsi="Arial" w:cs="Arial"/>
          <w:color w:val="FF0000"/>
          <w:sz w:val="16"/>
          <w:szCs w:val="16"/>
        </w:rPr>
        <w:t>SESDEC – Secretaria de Estado da Segurança, Defesa e Cidadania.</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lastRenderedPageBreak/>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Pr>
          <w:rFonts w:ascii="Arial" w:hAnsi="Arial" w:cs="Arial"/>
          <w:b/>
          <w:bCs/>
          <w:color w:val="000000"/>
          <w:sz w:val="16"/>
          <w:szCs w:val="16"/>
        </w:rPr>
        <w:t>MÁRCIA CARVALHO GUEDES</w:t>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736F5"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9FE7664"/>
    <w:multiLevelType w:val="multilevel"/>
    <w:tmpl w:val="3A76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BCD41BF"/>
    <w:multiLevelType w:val="multilevel"/>
    <w:tmpl w:val="033EC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B7010DC"/>
    <w:multiLevelType w:val="multilevel"/>
    <w:tmpl w:val="106A3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C01645A"/>
    <w:multiLevelType w:val="multilevel"/>
    <w:tmpl w:val="50EC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3B5E45"/>
    <w:multiLevelType w:val="multilevel"/>
    <w:tmpl w:val="79AC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nsid w:val="7A3C1DA6"/>
    <w:multiLevelType w:val="multilevel"/>
    <w:tmpl w:val="299C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0"/>
  </w:num>
  <w:num w:numId="8">
    <w:abstractNumId w:val="25"/>
  </w:num>
  <w:num w:numId="9">
    <w:abstractNumId w:val="27"/>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4"/>
  </w:num>
  <w:num w:numId="14">
    <w:abstractNumId w:val="44"/>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2"/>
  </w:num>
  <w:num w:numId="23">
    <w:abstractNumId w:val="35"/>
  </w:num>
  <w:num w:numId="24">
    <w:abstractNumId w:val="13"/>
  </w:num>
  <w:num w:numId="25">
    <w:abstractNumId w:val="46"/>
  </w:num>
  <w:num w:numId="26">
    <w:abstractNumId w:val="22"/>
  </w:num>
  <w:num w:numId="27">
    <w:abstractNumId w:val="18"/>
  </w:num>
  <w:num w:numId="28">
    <w:abstractNumId w:val="11"/>
  </w:num>
  <w:num w:numId="29">
    <w:abstractNumId w:val="15"/>
  </w:num>
  <w:num w:numId="30">
    <w:abstractNumId w:val="31"/>
  </w:num>
  <w:num w:numId="31">
    <w:abstractNumId w:val="6"/>
  </w:num>
  <w:num w:numId="32">
    <w:abstractNumId w:val="26"/>
  </w:num>
  <w:num w:numId="33">
    <w:abstractNumId w:val="33"/>
  </w:num>
  <w:num w:numId="34">
    <w:abstractNumId w:val="19"/>
  </w:num>
  <w:num w:numId="35">
    <w:abstractNumId w:val="38"/>
  </w:num>
  <w:num w:numId="36">
    <w:abstractNumId w:val="20"/>
  </w:num>
  <w:num w:numId="37">
    <w:abstractNumId w:val="2"/>
  </w:num>
  <w:num w:numId="38">
    <w:abstractNumId w:val="45"/>
  </w:num>
  <w:num w:numId="39">
    <w:abstractNumId w:val="7"/>
  </w:num>
  <w:num w:numId="40">
    <w:abstractNumId w:val="21"/>
  </w:num>
  <w:num w:numId="41">
    <w:abstractNumId w:val="47"/>
  </w:num>
  <w:num w:numId="42">
    <w:abstractNumId w:val="24"/>
  </w:num>
  <w:num w:numId="43">
    <w:abstractNumId w:val="43"/>
  </w:num>
  <w:num w:numId="44">
    <w:abstractNumId w:val="16"/>
  </w:num>
  <w:num w:numId="45">
    <w:abstractNumId w:val="48"/>
  </w:num>
  <w:num w:numId="46">
    <w:abstractNumId w:val="8"/>
    <w:lvlOverride w:ilvl="0">
      <w:startOverride w:val="2"/>
    </w:lvlOverride>
  </w:num>
  <w:num w:numId="47">
    <w:abstractNumId w:val="23"/>
    <w:lvlOverride w:ilvl="0">
      <w:startOverride w:val="3"/>
    </w:lvlOverride>
  </w:num>
  <w:num w:numId="48">
    <w:abstractNumId w:val="36"/>
    <w:lvlOverride w:ilvl="0">
      <w:startOverride w:val="4"/>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13DE"/>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410"/>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0E81"/>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97D"/>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BCE"/>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E43"/>
    <w:rsid w:val="008A17ED"/>
    <w:rsid w:val="008A1D2F"/>
    <w:rsid w:val="008A1EAC"/>
    <w:rsid w:val="008A1F21"/>
    <w:rsid w:val="008A2F09"/>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5A20"/>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379FE"/>
    <w:rsid w:val="00B4108C"/>
    <w:rsid w:val="00B42F48"/>
    <w:rsid w:val="00B43A4B"/>
    <w:rsid w:val="00B45EB1"/>
    <w:rsid w:val="00B475CD"/>
    <w:rsid w:val="00B47622"/>
    <w:rsid w:val="00B52C25"/>
    <w:rsid w:val="00B62C75"/>
    <w:rsid w:val="00B70DE3"/>
    <w:rsid w:val="00B718BC"/>
    <w:rsid w:val="00B72122"/>
    <w:rsid w:val="00B72F13"/>
    <w:rsid w:val="00B73679"/>
    <w:rsid w:val="00B736F5"/>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B71A9"/>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3EEB"/>
    <w:rsid w:val="00C66F1C"/>
    <w:rsid w:val="00C71E07"/>
    <w:rsid w:val="00C722CC"/>
    <w:rsid w:val="00C72D84"/>
    <w:rsid w:val="00C80898"/>
    <w:rsid w:val="00C81030"/>
    <w:rsid w:val="00C81384"/>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035"/>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0120"/>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FA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3AB7"/>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B379FE"/>
    <w:pPr>
      <w:spacing w:before="100" w:beforeAutospacing="1" w:after="100" w:afterAutospacing="1"/>
    </w:pPr>
    <w:rPr>
      <w:sz w:val="24"/>
      <w:szCs w:val="24"/>
    </w:rPr>
  </w:style>
  <w:style w:type="character" w:styleId="nfase">
    <w:name w:val="Emphasis"/>
    <w:basedOn w:val="Fontepargpadro"/>
    <w:uiPriority w:val="20"/>
    <w:qFormat/>
    <w:rsid w:val="00B379FE"/>
    <w:rPr>
      <w:i/>
      <w:iCs/>
    </w:rPr>
  </w:style>
  <w:style w:type="paragraph" w:customStyle="1" w:styleId="textofundocinzanegrito">
    <w:name w:val="texto_fundo_cinza_negrito"/>
    <w:basedOn w:val="Normal"/>
    <w:rsid w:val="00B379F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447961">
      <w:bodyDiv w:val="1"/>
      <w:marLeft w:val="0"/>
      <w:marRight w:val="0"/>
      <w:marTop w:val="0"/>
      <w:marBottom w:val="0"/>
      <w:divBdr>
        <w:top w:val="none" w:sz="0" w:space="0" w:color="auto"/>
        <w:left w:val="none" w:sz="0" w:space="0" w:color="auto"/>
        <w:bottom w:val="none" w:sz="0" w:space="0" w:color="auto"/>
        <w:right w:val="none" w:sz="0" w:space="0" w:color="auto"/>
      </w:divBdr>
      <w:divsChild>
        <w:div w:id="2033144932">
          <w:marLeft w:val="0"/>
          <w:marRight w:val="0"/>
          <w:marTop w:val="0"/>
          <w:marBottom w:val="0"/>
          <w:divBdr>
            <w:top w:val="none" w:sz="0" w:space="0" w:color="auto"/>
            <w:left w:val="none" w:sz="0" w:space="0" w:color="auto"/>
            <w:bottom w:val="none" w:sz="0" w:space="0" w:color="auto"/>
            <w:right w:val="none" w:sz="0" w:space="0" w:color="auto"/>
          </w:divBdr>
        </w:div>
      </w:divsChild>
    </w:div>
    <w:div w:id="1282110910">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07428&amp;infra_sistema=100000100&amp;infra_unidade_atual=110000213&amp;infra_hash=a3befd1f7f2d087895d395bbe1172233b05e72d165f482ce5f795fa7b7b0782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B3284-8CB2-4A87-BE9C-4BAACE66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2979</Words>
  <Characters>17077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2018-04-30T12:56:00Z</cp:lastPrinted>
  <dcterms:created xsi:type="dcterms:W3CDTF">2018-04-30T12:23:00Z</dcterms:created>
  <dcterms:modified xsi:type="dcterms:W3CDTF">2018-04-30T13:44:00Z</dcterms:modified>
</cp:coreProperties>
</file>