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E6907">
        <w:rPr>
          <w:rFonts w:ascii="Arial" w:hAnsi="Arial" w:cs="Arial"/>
          <w:b/>
          <w:sz w:val="16"/>
          <w:szCs w:val="16"/>
        </w:rPr>
        <w:t>086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E6907">
        <w:rPr>
          <w:rFonts w:ascii="Arial" w:hAnsi="Arial" w:cs="Arial"/>
          <w:b/>
          <w:bCs/>
          <w:sz w:val="16"/>
          <w:szCs w:val="16"/>
        </w:rPr>
        <w:t>671</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3E6907" w:rsidRPr="003E6907">
          <w:rPr>
            <w:rStyle w:val="Hyperlink"/>
            <w:rFonts w:ascii="Arial" w:eastAsiaTheme="majorEastAsia" w:hAnsi="Arial" w:cs="Arial"/>
            <w:color w:val="000000"/>
            <w:sz w:val="18"/>
            <w:szCs w:val="18"/>
            <w:u w:val="none"/>
          </w:rPr>
          <w:t>0043.001131/2017-64 </w:t>
        </w:r>
      </w:hyperlink>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BA061F" w:rsidRPr="00BA061F">
        <w:rPr>
          <w:rFonts w:ascii="Arial" w:hAnsi="Arial" w:cs="Arial"/>
          <w:sz w:val="16"/>
          <w:szCs w:val="16"/>
        </w:rPr>
        <w:t xml:space="preserve">aquisição de Materiais de </w:t>
      </w:r>
      <w:proofErr w:type="gramStart"/>
      <w:r w:rsidR="00BA061F" w:rsidRPr="00BA061F">
        <w:rPr>
          <w:rFonts w:ascii="Arial" w:hAnsi="Arial" w:cs="Arial"/>
          <w:sz w:val="16"/>
          <w:szCs w:val="16"/>
        </w:rPr>
        <w:t>expediente e pedagógicos para atender a Secretaria de Estado de Justiça – SEJUS/RO</w:t>
      </w:r>
      <w:r w:rsidR="00A212A5" w:rsidRPr="00214276">
        <w:rPr>
          <w:rFonts w:ascii="Arial" w:hAnsi="Arial" w:cs="Arial"/>
          <w:color w:val="000000" w:themeColor="text1"/>
          <w:sz w:val="16"/>
          <w:szCs w:val="16"/>
        </w:rPr>
        <w:t>, para o período de 12 meses</w:t>
      </w:r>
      <w:proofErr w:type="gramEnd"/>
      <w:r w:rsidR="00A212A5" w:rsidRPr="00214276">
        <w:rPr>
          <w:rFonts w:ascii="Arial" w:hAnsi="Arial" w:cs="Arial"/>
          <w:color w:val="000000" w:themeColor="text1"/>
          <w:sz w:val="16"/>
          <w:szCs w:val="16"/>
        </w:rPr>
        <w:t xml:space="preserve">,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BA061F" w:rsidRPr="00BA061F">
        <w:rPr>
          <w:rFonts w:ascii="Arial" w:hAnsi="Arial" w:cs="Arial"/>
          <w:sz w:val="16"/>
          <w:szCs w:val="16"/>
        </w:rPr>
        <w:t xml:space="preserve">aquisição de Materiais de </w:t>
      </w:r>
      <w:proofErr w:type="gramStart"/>
      <w:r w:rsidR="00BA061F" w:rsidRPr="00BA061F">
        <w:rPr>
          <w:rFonts w:ascii="Arial" w:hAnsi="Arial" w:cs="Arial"/>
          <w:sz w:val="16"/>
          <w:szCs w:val="16"/>
        </w:rPr>
        <w:t>expediente e pedagógicos para atender a Secretaria de Estado de Justiça</w:t>
      </w:r>
      <w:proofErr w:type="gramEnd"/>
      <w:r w:rsidR="00BA061F" w:rsidRPr="00BA061F">
        <w:rPr>
          <w:rFonts w:ascii="Arial" w:hAnsi="Arial" w:cs="Arial"/>
          <w:sz w:val="16"/>
          <w:szCs w:val="16"/>
        </w:rPr>
        <w:t xml:space="preserve"> – SEJUS/RO</w:t>
      </w:r>
      <w:r w:rsidR="00BA061F">
        <w:rPr>
          <w:rFonts w:ascii="Arial" w:hAnsi="Arial" w:cs="Arial"/>
          <w:sz w:val="16"/>
          <w:szCs w:val="16"/>
        </w:rPr>
        <w:t>.</w:t>
      </w:r>
    </w:p>
    <w:p w:rsidR="00BA061F" w:rsidRDefault="00BA061F"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Default="00206244" w:rsidP="00CF6980">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BA061F" w:rsidRPr="00BA061F">
        <w:rPr>
          <w:rFonts w:ascii="Arial" w:hAnsi="Arial" w:cs="Arial"/>
          <w:sz w:val="16"/>
          <w:szCs w:val="16"/>
        </w:rPr>
        <w:t xml:space="preserve">Os materiais deverão ser entregues no Almoxarifado da Secretaria de Estado de Justiça de Rondônia, que posteriormente irá distribuir os itens, conforme a necessidade das unidades, localizado na Rua da </w:t>
      </w:r>
      <w:proofErr w:type="gramStart"/>
      <w:r w:rsidR="00BA061F" w:rsidRPr="00BA061F">
        <w:rPr>
          <w:rFonts w:ascii="Arial" w:hAnsi="Arial" w:cs="Arial"/>
          <w:sz w:val="16"/>
          <w:szCs w:val="16"/>
        </w:rPr>
        <w:t>Peroba,</w:t>
      </w:r>
      <w:proofErr w:type="gramEnd"/>
      <w:r w:rsidR="00BA061F" w:rsidRPr="00BA061F">
        <w:rPr>
          <w:rFonts w:ascii="Arial" w:hAnsi="Arial" w:cs="Arial"/>
          <w:sz w:val="16"/>
          <w:szCs w:val="16"/>
        </w:rPr>
        <w:t xml:space="preserve">n° 5400, Bairro: </w:t>
      </w:r>
      <w:proofErr w:type="spellStart"/>
      <w:r w:rsidR="00BA061F" w:rsidRPr="00BA061F">
        <w:rPr>
          <w:rFonts w:ascii="Arial" w:hAnsi="Arial" w:cs="Arial"/>
          <w:sz w:val="16"/>
          <w:szCs w:val="16"/>
        </w:rPr>
        <w:t>Cohab</w:t>
      </w:r>
      <w:proofErr w:type="spellEnd"/>
      <w:r w:rsidR="00BA061F" w:rsidRPr="00BA061F">
        <w:rPr>
          <w:rFonts w:ascii="Arial" w:hAnsi="Arial" w:cs="Arial"/>
          <w:sz w:val="16"/>
          <w:szCs w:val="16"/>
        </w:rPr>
        <w:t xml:space="preserve"> Floresta – Porto Velho/RO, com Horário de Funcionamento das 07h30min ás 13h30min de Segunda à Sexta-feira, com acuse de recebimento, como nas formas habituais.</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sidRPr="006E65B3">
        <w:rPr>
          <w:rFonts w:ascii="Arial" w:hAnsi="Arial" w:cs="Arial"/>
          <w:spacing w:val="5"/>
          <w:sz w:val="16"/>
          <w:szCs w:val="16"/>
        </w:rPr>
        <w:lastRenderedPageBreak/>
        <w:t>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1</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2</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3</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Suspender ou</w:t>
            </w:r>
            <w:proofErr w:type="gramStart"/>
            <w:r w:rsidR="00BA061F">
              <w:rPr>
                <w:rFonts w:ascii="Arial" w:hAnsi="Arial" w:cs="Arial"/>
                <w:sz w:val="16"/>
                <w:szCs w:val="16"/>
              </w:rPr>
              <w:t xml:space="preserve"> </w:t>
            </w:r>
            <w:r w:rsidRPr="006E65B3">
              <w:rPr>
                <w:rFonts w:ascii="Arial" w:hAnsi="Arial" w:cs="Arial"/>
                <w:sz w:val="16"/>
                <w:szCs w:val="16"/>
              </w:rPr>
              <w:t xml:space="preserve"> </w:t>
            </w:r>
            <w:proofErr w:type="gramEnd"/>
            <w:r w:rsidRPr="006E65B3">
              <w:rPr>
                <w:rFonts w:ascii="Arial" w:hAnsi="Arial" w:cs="Arial"/>
                <w:sz w:val="16"/>
                <w:szCs w:val="16"/>
              </w:rPr>
              <w:t xml:space="preserve">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4</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5</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6</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7</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8</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9</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quaisquer dos itens do </w:t>
            </w:r>
            <w:proofErr w:type="gramStart"/>
            <w:r w:rsidRPr="006E65B3">
              <w:rPr>
                <w:rFonts w:ascii="Arial" w:hAnsi="Arial" w:cs="Arial"/>
                <w:sz w:val="16"/>
                <w:szCs w:val="16"/>
              </w:rPr>
              <w:t>Edital e anexos</w:t>
            </w:r>
            <w:proofErr w:type="gramEnd"/>
            <w:r w:rsidRPr="006E65B3">
              <w:rPr>
                <w:rFonts w:ascii="Arial" w:hAnsi="Arial" w:cs="Arial"/>
                <w:sz w:val="16"/>
                <w:szCs w:val="16"/>
              </w:rPr>
              <w:t>,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BA061F" w:rsidRDefault="00BA061F" w:rsidP="00BA061F">
      <w:pPr>
        <w:jc w:val="both"/>
        <w:rPr>
          <w:rFonts w:ascii="Arial" w:hAnsi="Arial" w:cs="Arial"/>
          <w:sz w:val="16"/>
          <w:szCs w:val="16"/>
        </w:rPr>
      </w:pPr>
      <w:r w:rsidRPr="00BA061F">
        <w:rPr>
          <w:rFonts w:ascii="Arial" w:hAnsi="Arial" w:cs="Arial"/>
          <w:sz w:val="16"/>
          <w:szCs w:val="16"/>
        </w:rPr>
        <w:t>SEJUS/RO</w:t>
      </w:r>
      <w:r>
        <w:rPr>
          <w:rFonts w:ascii="Arial" w:hAnsi="Arial" w:cs="Arial"/>
          <w:sz w:val="16"/>
          <w:szCs w:val="16"/>
        </w:rPr>
        <w:t xml:space="preserve"> -</w:t>
      </w:r>
      <w:r w:rsidRPr="00BA061F">
        <w:rPr>
          <w:rFonts w:ascii="Arial" w:hAnsi="Arial" w:cs="Arial"/>
          <w:sz w:val="16"/>
          <w:szCs w:val="16"/>
        </w:rPr>
        <w:t xml:space="preserve"> Secretaria de Estado de Justiça</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061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7930&amp;infra_sistema=100000100&amp;infra_unidade_atual=110000213&amp;infra_hash=606e00214c801bcbde14aa3d3f6e0f78eceaf1cbe70873936296ef199cd9cdb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D41E2-E199-420A-A756-3C8534E84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3222</Words>
  <Characters>17403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2017-09-26T18:51:00Z</cp:lastPrinted>
  <dcterms:created xsi:type="dcterms:W3CDTF">2018-04-26T14:48:00Z</dcterms:created>
  <dcterms:modified xsi:type="dcterms:W3CDTF">2018-04-26T14:56:00Z</dcterms:modified>
</cp:coreProperties>
</file>