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32D1A">
        <w:rPr>
          <w:rFonts w:ascii="Arial" w:hAnsi="Arial" w:cs="Arial"/>
          <w:b/>
          <w:sz w:val="16"/>
          <w:szCs w:val="16"/>
        </w:rPr>
        <w:t>074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A7BFB">
        <w:rPr>
          <w:rFonts w:ascii="Arial" w:hAnsi="Arial" w:cs="Arial"/>
          <w:b/>
          <w:bCs/>
          <w:sz w:val="16"/>
          <w:szCs w:val="16"/>
        </w:rPr>
        <w:t xml:space="preserve"> Nº 00</w:t>
      </w:r>
      <w:r w:rsidR="00632D1A">
        <w:rPr>
          <w:rFonts w:ascii="Arial" w:hAnsi="Arial" w:cs="Arial"/>
          <w:b/>
          <w:bCs/>
          <w:sz w:val="16"/>
          <w:szCs w:val="16"/>
        </w:rPr>
        <w:t>9/2018</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632D1A">
        <w:rPr>
          <w:rFonts w:ascii="Arial" w:hAnsi="Arial" w:cs="Arial"/>
          <w:b/>
          <w:bCs/>
          <w:sz w:val="16"/>
          <w:szCs w:val="16"/>
        </w:rPr>
        <w:t>0048.061277/2017-19</w:t>
      </w:r>
    </w:p>
    <w:p w:rsidR="00145D13" w:rsidRPr="00FF1F0B" w:rsidRDefault="00145D13" w:rsidP="009D2314">
      <w:pPr>
        <w:jc w:val="both"/>
        <w:rPr>
          <w:rFonts w:ascii="Arial" w:hAnsi="Arial" w:cs="Arial"/>
          <w:b/>
          <w:sz w:val="16"/>
          <w:szCs w:val="16"/>
        </w:rPr>
      </w:pPr>
    </w:p>
    <w:p w:rsidR="009D2314" w:rsidRPr="001A7BFB" w:rsidRDefault="002E300A" w:rsidP="00DF042C">
      <w:pPr>
        <w:jc w:val="both"/>
        <w:rPr>
          <w:rFonts w:ascii="Arial" w:hAnsi="Arial" w:cs="Arial"/>
          <w:b/>
          <w:color w:val="FF0000"/>
          <w:sz w:val="21"/>
          <w:szCs w:val="21"/>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04C76" w:rsidRPr="00604C76">
        <w:rPr>
          <w:rFonts w:ascii="Arial" w:hAnsi="Arial" w:cs="Arial"/>
          <w:color w:val="000000" w:themeColor="text1"/>
          <w:sz w:val="16"/>
          <w:szCs w:val="16"/>
        </w:rPr>
        <w:t xml:space="preserve">futura e eventual </w:t>
      </w:r>
      <w:r w:rsidR="00632D1A" w:rsidRPr="00632D1A">
        <w:rPr>
          <w:rFonts w:ascii="Arial" w:hAnsi="Arial" w:cs="Arial"/>
          <w:color w:val="000000" w:themeColor="text1"/>
          <w:sz w:val="16"/>
          <w:szCs w:val="16"/>
        </w:rPr>
        <w:t>aquisição de suprimentos de informática (microcomputador (Desktop), projetor de mídia (DATASHOW), HD externo portátil, aparelho de TV SMART LED 60” FULL HD, entre outros) para atender as necessidades do Projeto CAPACITA, através do Instituto Estadual de Desenvolvimento da Educação Profissional – IDEP/R</w:t>
      </w:r>
      <w:r w:rsidR="001A7BFB">
        <w:rPr>
          <w:rFonts w:ascii="Arial" w:hAnsi="Arial" w:cs="Arial"/>
          <w:color w:val="000000" w:themeColor="text1"/>
          <w:sz w:val="16"/>
          <w:szCs w:val="16"/>
        </w:rPr>
        <w:t xml:space="preserve">O, </w:t>
      </w:r>
      <w:r w:rsidR="00A212A5" w:rsidRPr="00214276">
        <w:rPr>
          <w:rFonts w:ascii="Arial" w:hAnsi="Arial" w:cs="Arial"/>
          <w:color w:val="000000" w:themeColor="text1"/>
          <w:sz w:val="16"/>
          <w:szCs w:val="16"/>
        </w:rPr>
        <w:t xml:space="preserve">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632D1A" w:rsidRPr="005F13D0" w:rsidRDefault="002E300A" w:rsidP="00632D1A">
      <w:pPr>
        <w:jc w:val="both"/>
        <w:rPr>
          <w:rFonts w:ascii="Arial" w:hAnsi="Arial" w:cs="Arial"/>
          <w:b/>
          <w:color w:val="FF0000"/>
          <w:sz w:val="21"/>
          <w:szCs w:val="21"/>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604C76" w:rsidRPr="00604C76">
        <w:rPr>
          <w:rFonts w:ascii="Arial" w:hAnsi="Arial" w:cs="Arial"/>
          <w:color w:val="000000" w:themeColor="text1"/>
          <w:sz w:val="16"/>
          <w:szCs w:val="16"/>
        </w:rPr>
        <w:t xml:space="preserve">futura e eventual </w:t>
      </w:r>
      <w:r w:rsidR="00632D1A" w:rsidRPr="00632D1A">
        <w:rPr>
          <w:rFonts w:ascii="Arial" w:hAnsi="Arial" w:cs="Arial"/>
          <w:color w:val="000000" w:themeColor="text1"/>
          <w:sz w:val="16"/>
          <w:szCs w:val="16"/>
        </w:rPr>
        <w:t>aquisição de suprimentos de informática (microcomputador (Desktop), projetor de mídia (DATASHOW), HD externo portátil, aparelho de TV SMART LED 60” FULL HD, entre outros) para atender as necessidades do Projeto CAPACITA, através do Instituto Estadual de Desenvolvimento da Educação Profissional – IDEP/RO.</w:t>
      </w:r>
    </w:p>
    <w:p w:rsidR="00CF6980" w:rsidRDefault="00CF6980" w:rsidP="008C7613">
      <w:pPr>
        <w:jc w:val="both"/>
        <w:rPr>
          <w:rFonts w:ascii="Arial" w:hAnsi="Arial" w:cs="Arial"/>
          <w:bCs/>
          <w:sz w:val="16"/>
          <w:szCs w:val="16"/>
        </w:rPr>
      </w:pP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1A7BFB" w:rsidRDefault="00A14D66" w:rsidP="00206244">
      <w:pPr>
        <w:jc w:val="both"/>
        <w:rPr>
          <w:rFonts w:ascii="Arial" w:hAnsi="Arial" w:cs="Arial"/>
          <w:b/>
          <w:bCs/>
          <w:sz w:val="16"/>
          <w:szCs w:val="16"/>
        </w:rPr>
      </w:pPr>
      <w:r w:rsidRPr="001A7BFB">
        <w:rPr>
          <w:rFonts w:ascii="Arial" w:hAnsi="Arial" w:cs="Arial"/>
          <w:b/>
          <w:bCs/>
          <w:color w:val="000000"/>
          <w:sz w:val="16"/>
          <w:szCs w:val="16"/>
        </w:rPr>
        <w:t>6.</w:t>
      </w:r>
      <w:r w:rsidR="006B04DB" w:rsidRPr="001A7BFB">
        <w:rPr>
          <w:rFonts w:ascii="Arial" w:hAnsi="Arial" w:cs="Arial"/>
          <w:b/>
          <w:bCs/>
          <w:color w:val="000000"/>
          <w:sz w:val="16"/>
          <w:szCs w:val="16"/>
        </w:rPr>
        <w:t xml:space="preserve"> </w:t>
      </w:r>
      <w:r w:rsidR="008668C5" w:rsidRPr="001A7BFB">
        <w:rPr>
          <w:rFonts w:ascii="Arial" w:hAnsi="Arial" w:cs="Arial"/>
          <w:b/>
          <w:bCs/>
          <w:sz w:val="16"/>
          <w:szCs w:val="16"/>
        </w:rPr>
        <w:t xml:space="preserve">DO PRAZO E LOCAL DE </w:t>
      </w:r>
      <w:r w:rsidR="00CF6980" w:rsidRPr="001A7BFB">
        <w:rPr>
          <w:rFonts w:ascii="Arial" w:hAnsi="Arial" w:cs="Arial"/>
          <w:b/>
          <w:bCs/>
          <w:sz w:val="16"/>
          <w:szCs w:val="16"/>
        </w:rPr>
        <w:t>ENTREGA</w:t>
      </w:r>
    </w:p>
    <w:p w:rsidR="00206244" w:rsidRPr="001A7BFB" w:rsidRDefault="00206244" w:rsidP="00206244">
      <w:pPr>
        <w:jc w:val="both"/>
        <w:rPr>
          <w:rFonts w:ascii="Arial" w:hAnsi="Arial" w:cs="Arial"/>
          <w:sz w:val="16"/>
          <w:szCs w:val="16"/>
        </w:rPr>
      </w:pPr>
      <w:r w:rsidRPr="001A7BFB">
        <w:rPr>
          <w:rFonts w:ascii="Arial" w:hAnsi="Arial" w:cs="Arial"/>
          <w:b/>
          <w:sz w:val="16"/>
          <w:szCs w:val="16"/>
        </w:rPr>
        <w:t>6.1</w:t>
      </w:r>
      <w:r w:rsidRPr="001A7BFB">
        <w:rPr>
          <w:rFonts w:ascii="Arial" w:hAnsi="Arial" w:cs="Arial"/>
          <w:bCs/>
          <w:sz w:val="16"/>
          <w:szCs w:val="16"/>
        </w:rPr>
        <w:t>. No recebimento e aceitação de qualquer item, objeto desta Ata de Registro de Preços, serão observadas as especificações contidas no instrumento convocatório.</w:t>
      </w:r>
    </w:p>
    <w:p w:rsidR="00206244" w:rsidRPr="001A7BFB" w:rsidRDefault="00206244" w:rsidP="00206244">
      <w:pPr>
        <w:jc w:val="both"/>
        <w:rPr>
          <w:rFonts w:ascii="Arial" w:hAnsi="Arial" w:cs="Arial"/>
          <w:sz w:val="16"/>
          <w:szCs w:val="16"/>
        </w:rPr>
      </w:pPr>
      <w:r w:rsidRPr="001A7BFB">
        <w:rPr>
          <w:rFonts w:ascii="Arial" w:hAnsi="Arial" w:cs="Arial"/>
          <w:b/>
          <w:sz w:val="16"/>
          <w:szCs w:val="16"/>
        </w:rPr>
        <w:t>6.2.</w:t>
      </w:r>
      <w:r w:rsidRPr="001A7BFB">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06244" w:rsidRPr="001A7BFB" w:rsidRDefault="00206244" w:rsidP="00206244">
      <w:pPr>
        <w:jc w:val="both"/>
        <w:rPr>
          <w:rFonts w:ascii="Arial" w:hAnsi="Arial" w:cs="Arial"/>
          <w:sz w:val="16"/>
          <w:szCs w:val="16"/>
        </w:rPr>
      </w:pPr>
      <w:r w:rsidRPr="001A7BFB">
        <w:rPr>
          <w:rFonts w:ascii="Arial" w:hAnsi="Arial" w:cs="Arial"/>
          <w:b/>
          <w:sz w:val="16"/>
          <w:szCs w:val="16"/>
        </w:rPr>
        <w:t>6.3.</w:t>
      </w:r>
      <w:r w:rsidRPr="001A7BFB">
        <w:rPr>
          <w:rFonts w:ascii="Arial" w:hAnsi="Arial" w:cs="Arial"/>
          <w:sz w:val="16"/>
          <w:szCs w:val="16"/>
        </w:rPr>
        <w:t xml:space="preserve"> </w:t>
      </w:r>
      <w:r w:rsidRPr="001A7BFB">
        <w:rPr>
          <w:rFonts w:ascii="Arial" w:hAnsi="Arial" w:cs="Arial"/>
          <w:b/>
          <w:sz w:val="16"/>
          <w:szCs w:val="16"/>
        </w:rPr>
        <w:t>DO PRAZO DE ENTREGA:</w:t>
      </w:r>
      <w:r w:rsidRPr="001A7BFB">
        <w:rPr>
          <w:rFonts w:ascii="Arial" w:hAnsi="Arial" w:cs="Arial"/>
          <w:color w:val="000000" w:themeColor="text1"/>
          <w:sz w:val="16"/>
          <w:szCs w:val="16"/>
        </w:rPr>
        <w:t xml:space="preserve"> </w:t>
      </w:r>
      <w:r w:rsidR="00632D1A" w:rsidRPr="001A7BFB">
        <w:rPr>
          <w:rFonts w:ascii="Arial" w:hAnsi="Arial" w:cs="Arial"/>
          <w:bCs/>
          <w:sz w:val="16"/>
          <w:szCs w:val="16"/>
        </w:rPr>
        <w:t>O prazo de entrega dos itens será de até 30 (trinta) dias, contados da data do recebimento da Nota de Empenho.  Este prazo poderá ser dilatado em casos excepcionais, mediante apresentação de justificativa, com concordância da Administração.</w:t>
      </w:r>
    </w:p>
    <w:p w:rsidR="00206244" w:rsidRPr="001A7BFB" w:rsidRDefault="00206244" w:rsidP="00206244">
      <w:pPr>
        <w:jc w:val="both"/>
        <w:rPr>
          <w:rFonts w:ascii="Arial" w:hAnsi="Arial" w:cs="Arial"/>
          <w:bCs/>
          <w:sz w:val="16"/>
          <w:szCs w:val="16"/>
        </w:rPr>
      </w:pPr>
      <w:r w:rsidRPr="001A7BFB">
        <w:rPr>
          <w:rFonts w:ascii="Arial" w:hAnsi="Arial" w:cs="Arial"/>
          <w:b/>
          <w:sz w:val="16"/>
          <w:szCs w:val="16"/>
        </w:rPr>
        <w:t>6.4.</w:t>
      </w:r>
      <w:r w:rsidRPr="001A7BFB">
        <w:rPr>
          <w:rFonts w:ascii="Arial" w:hAnsi="Arial" w:cs="Arial"/>
          <w:sz w:val="16"/>
          <w:szCs w:val="16"/>
        </w:rPr>
        <w:t xml:space="preserve"> </w:t>
      </w:r>
      <w:r w:rsidRPr="001A7BFB">
        <w:rPr>
          <w:rFonts w:ascii="Arial" w:hAnsi="Arial" w:cs="Arial"/>
          <w:b/>
          <w:sz w:val="16"/>
          <w:szCs w:val="16"/>
        </w:rPr>
        <w:t>DO LOCAL DE ENTREGA:</w:t>
      </w:r>
      <w:r w:rsidRPr="001A7BFB">
        <w:rPr>
          <w:rFonts w:ascii="Arial" w:hAnsi="Arial" w:cs="Arial"/>
          <w:sz w:val="16"/>
          <w:szCs w:val="16"/>
        </w:rPr>
        <w:t xml:space="preserve"> </w:t>
      </w:r>
      <w:r w:rsidR="00632D1A" w:rsidRPr="001A7BFB">
        <w:rPr>
          <w:rFonts w:ascii="Arial" w:hAnsi="Arial" w:cs="Arial"/>
          <w:bCs/>
          <w:sz w:val="16"/>
          <w:szCs w:val="16"/>
        </w:rPr>
        <w:t xml:space="preserve">Os produtos deverão ser entregues na SEDE do Instituo Estadual de Desenvolvimento da Educação Profissional - IDEP situada à Palácio Rio Madeira – Ed. </w:t>
      </w:r>
      <w:proofErr w:type="spellStart"/>
      <w:r w:rsidR="00632D1A" w:rsidRPr="001A7BFB">
        <w:rPr>
          <w:rFonts w:ascii="Arial" w:hAnsi="Arial" w:cs="Arial"/>
          <w:bCs/>
          <w:sz w:val="16"/>
          <w:szCs w:val="16"/>
        </w:rPr>
        <w:t>Cautário</w:t>
      </w:r>
      <w:proofErr w:type="spellEnd"/>
      <w:r w:rsidR="00632D1A" w:rsidRPr="001A7BFB">
        <w:rPr>
          <w:rFonts w:ascii="Arial" w:hAnsi="Arial" w:cs="Arial"/>
          <w:bCs/>
          <w:sz w:val="16"/>
          <w:szCs w:val="16"/>
        </w:rPr>
        <w:t xml:space="preserve">- Prédio Curvo, 5º andar – Av. </w:t>
      </w:r>
      <w:proofErr w:type="spellStart"/>
      <w:r w:rsidR="00632D1A" w:rsidRPr="001A7BFB">
        <w:rPr>
          <w:rFonts w:ascii="Arial" w:hAnsi="Arial" w:cs="Arial"/>
          <w:bCs/>
          <w:sz w:val="16"/>
          <w:szCs w:val="16"/>
        </w:rPr>
        <w:t>Farquar</w:t>
      </w:r>
      <w:proofErr w:type="spellEnd"/>
      <w:r w:rsidR="00632D1A" w:rsidRPr="001A7BFB">
        <w:rPr>
          <w:rFonts w:ascii="Arial" w:hAnsi="Arial" w:cs="Arial"/>
          <w:bCs/>
          <w:sz w:val="16"/>
          <w:szCs w:val="16"/>
        </w:rPr>
        <w:t>, 2988, Bairro Pedrinhas – 76.801-466, Porto Velho – RO, de segunda à sexta-feira, das 07h:00min às 13h:30min, no prazo de até 30 (trinta) dias úteis após a entrega da Nota  de Empenho a(s) empresa(s) detentoras (s), para realizar a entrega conforme solicitado, de acordo com o princípio da razoabilidade e proporcionalidade.</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6E65B3" w:rsidRPr="006E65B3" w:rsidRDefault="006E65B3" w:rsidP="006E65B3">
      <w:pPr>
        <w:jc w:val="both"/>
        <w:rPr>
          <w:rFonts w:ascii="Arial" w:hAnsi="Arial" w:cs="Arial"/>
          <w:sz w:val="16"/>
          <w:szCs w:val="16"/>
        </w:rPr>
      </w:pPr>
      <w:r w:rsidRPr="00206244">
        <w:rPr>
          <w:rFonts w:ascii="Arial" w:hAnsi="Arial" w:cs="Arial"/>
          <w:b/>
          <w:sz w:val="16"/>
          <w:szCs w:val="16"/>
        </w:rPr>
        <w:lastRenderedPageBreak/>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E65B3" w:rsidRPr="006E65B3" w:rsidRDefault="006E65B3" w:rsidP="006E65B3">
      <w:pPr>
        <w:jc w:val="both"/>
        <w:rPr>
          <w:rFonts w:ascii="Arial" w:hAnsi="Arial" w:cs="Arial"/>
          <w:spacing w:val="5"/>
          <w:sz w:val="16"/>
          <w:szCs w:val="16"/>
        </w:rPr>
      </w:pPr>
      <w:r w:rsidRPr="00206244">
        <w:rPr>
          <w:rFonts w:ascii="Arial" w:hAnsi="Arial" w:cs="Arial"/>
          <w:b/>
          <w:spacing w:val="5"/>
          <w:sz w:val="16"/>
          <w:szCs w:val="16"/>
        </w:rPr>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9.8</w:t>
      </w:r>
      <w:r w:rsidRPr="006E65B3">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6E65B3" w:rsidRPr="006E65B3" w:rsidRDefault="006E65B3" w:rsidP="006E65B3">
      <w:pPr>
        <w:jc w:val="both"/>
        <w:rPr>
          <w:rFonts w:ascii="Arial" w:hAnsi="Arial" w:cs="Arial"/>
          <w:bCs/>
          <w:sz w:val="16"/>
          <w:szCs w:val="16"/>
        </w:rPr>
      </w:pPr>
      <w:r w:rsidRPr="006E65B3">
        <w:rPr>
          <w:rFonts w:ascii="Arial" w:hAnsi="Arial" w:cs="Arial"/>
          <w:bCs/>
          <w:sz w:val="16"/>
          <w:szCs w:val="16"/>
        </w:rPr>
        <w:t>a) Inexecução total ou parcial do contrato;</w:t>
      </w:r>
    </w:p>
    <w:p w:rsidR="006E65B3" w:rsidRPr="006E65B3" w:rsidRDefault="006E65B3" w:rsidP="006E65B3">
      <w:pPr>
        <w:jc w:val="both"/>
        <w:rPr>
          <w:rFonts w:ascii="Arial" w:hAnsi="Arial" w:cs="Arial"/>
          <w:spacing w:val="3"/>
          <w:sz w:val="16"/>
          <w:szCs w:val="16"/>
        </w:rPr>
      </w:pPr>
      <w:r w:rsidRPr="006E65B3">
        <w:rPr>
          <w:rFonts w:ascii="Arial" w:hAnsi="Arial" w:cs="Arial"/>
          <w:spacing w:val="3"/>
          <w:sz w:val="16"/>
          <w:szCs w:val="16"/>
        </w:rPr>
        <w:t>b) Apresentação de documentação falsa;</w:t>
      </w:r>
    </w:p>
    <w:p w:rsidR="006E65B3" w:rsidRPr="006E65B3" w:rsidRDefault="006E65B3" w:rsidP="006E65B3">
      <w:pPr>
        <w:jc w:val="both"/>
        <w:rPr>
          <w:rFonts w:ascii="Arial" w:hAnsi="Arial" w:cs="Arial"/>
          <w:spacing w:val="1"/>
          <w:sz w:val="16"/>
          <w:szCs w:val="16"/>
        </w:rPr>
      </w:pPr>
      <w:r w:rsidRPr="006E65B3">
        <w:rPr>
          <w:rFonts w:ascii="Arial" w:hAnsi="Arial" w:cs="Arial"/>
          <w:spacing w:val="3"/>
          <w:sz w:val="16"/>
          <w:szCs w:val="16"/>
        </w:rPr>
        <w:t>c) Comportamento inidôneo;</w:t>
      </w:r>
    </w:p>
    <w:p w:rsidR="006E65B3" w:rsidRPr="006E65B3" w:rsidRDefault="006E65B3" w:rsidP="006E65B3">
      <w:pPr>
        <w:jc w:val="both"/>
        <w:rPr>
          <w:rFonts w:ascii="Arial" w:hAnsi="Arial" w:cs="Arial"/>
          <w:spacing w:val="4"/>
          <w:sz w:val="16"/>
          <w:szCs w:val="16"/>
        </w:rPr>
      </w:pPr>
      <w:r w:rsidRPr="006E65B3">
        <w:rPr>
          <w:rFonts w:ascii="Arial" w:hAnsi="Arial" w:cs="Arial"/>
          <w:spacing w:val="1"/>
          <w:sz w:val="16"/>
          <w:szCs w:val="16"/>
        </w:rPr>
        <w:t>d) Fraude fiscal;</w:t>
      </w:r>
    </w:p>
    <w:p w:rsidR="006E65B3" w:rsidRPr="006E65B3" w:rsidRDefault="006E65B3" w:rsidP="006E65B3">
      <w:pPr>
        <w:jc w:val="both"/>
        <w:rPr>
          <w:rFonts w:ascii="Arial" w:hAnsi="Arial" w:cs="Arial"/>
          <w:spacing w:val="4"/>
          <w:sz w:val="16"/>
          <w:szCs w:val="16"/>
        </w:rPr>
      </w:pPr>
      <w:r w:rsidRPr="006E65B3">
        <w:rPr>
          <w:rFonts w:ascii="Arial" w:hAnsi="Arial" w:cs="Arial"/>
          <w:spacing w:val="4"/>
          <w:sz w:val="16"/>
          <w:szCs w:val="16"/>
        </w:rPr>
        <w:t>e) Descumprimento de qualquer dos deveres elencados no Edital ou no Contrato.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9.9</w:t>
      </w:r>
      <w:r w:rsidRPr="006E65B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6E65B3" w:rsidRDefault="006E65B3" w:rsidP="006E65B3">
      <w:pPr>
        <w:jc w:val="both"/>
        <w:rPr>
          <w:rFonts w:ascii="Arial" w:hAnsi="Arial" w:cs="Arial"/>
          <w:sz w:val="16"/>
          <w:szCs w:val="16"/>
        </w:rPr>
      </w:pPr>
      <w:r w:rsidRPr="00206244">
        <w:rPr>
          <w:rFonts w:ascii="Arial" w:hAnsi="Arial" w:cs="Arial"/>
          <w:b/>
          <w:sz w:val="16"/>
          <w:szCs w:val="16"/>
        </w:rPr>
        <w:t>9.10</w:t>
      </w:r>
      <w:r w:rsidRPr="006E65B3">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1A7BFB" w:rsidRPr="006E65B3" w:rsidRDefault="001A7BFB" w:rsidP="006E65B3">
      <w:pPr>
        <w:jc w:val="both"/>
        <w:rPr>
          <w:rFonts w:ascii="Arial" w:hAnsi="Arial" w:cs="Arial"/>
          <w:sz w:val="16"/>
          <w:szCs w:val="16"/>
        </w:rPr>
      </w:pPr>
    </w:p>
    <w:tbl>
      <w:tblPr>
        <w:tblStyle w:val="Tabelacomgrade"/>
        <w:tblW w:w="9747" w:type="dxa"/>
        <w:tblLook w:val="04A0" w:firstRow="1" w:lastRow="0" w:firstColumn="1" w:lastColumn="0" w:noHBand="0" w:noVBand="1"/>
      </w:tblPr>
      <w:tblGrid>
        <w:gridCol w:w="576"/>
        <w:gridCol w:w="6546"/>
        <w:gridCol w:w="1021"/>
        <w:gridCol w:w="1604"/>
      </w:tblGrid>
      <w:tr w:rsidR="006E65B3" w:rsidRPr="006E65B3" w:rsidTr="00E54C83">
        <w:tc>
          <w:tcPr>
            <w:tcW w:w="0" w:type="auto"/>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ITEM</w:t>
            </w:r>
          </w:p>
        </w:tc>
        <w:tc>
          <w:tcPr>
            <w:tcW w:w="6535"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DESCRIÇÃO DA INFRAÇÃO</w:t>
            </w:r>
          </w:p>
        </w:tc>
        <w:tc>
          <w:tcPr>
            <w:tcW w:w="1019"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GRAU</w:t>
            </w:r>
          </w:p>
        </w:tc>
        <w:tc>
          <w:tcPr>
            <w:tcW w:w="1601"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MULTA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Permitir situação que crie a possibilidade ou cause dano físico, lesão corporal ou consequências letais;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2</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Usar indevidamente informações sigilosas a que teve acesso;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3</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Suspender ou interromper, salvo por motivo de força maior ou caso fortuito, a entrega dos materiais médicos hospitalares, por cada solicitação (NE). </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4</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Destruir ou danificar documentos por culpa ou dolo de seus agentes;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5</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Entregar os materiais médicos hospitalares incompletos ou deixar de providenciar recomposição complementar;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6</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Fornecer informação pérfida referente à entrega dos materiais médicos hospitalares,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6E65B3">
        <w:tc>
          <w:tcPr>
            <w:tcW w:w="9747" w:type="dxa"/>
            <w:gridSpan w:val="4"/>
          </w:tcPr>
          <w:p w:rsidR="006E65B3" w:rsidRPr="006E65B3" w:rsidRDefault="006E65B3" w:rsidP="006E65B3">
            <w:pPr>
              <w:spacing w:before="97"/>
              <w:ind w:right="-23"/>
              <w:jc w:val="both"/>
              <w:rPr>
                <w:rFonts w:ascii="Arial" w:hAnsi="Arial" w:cs="Arial"/>
                <w:b/>
                <w:color w:val="FF0000"/>
                <w:sz w:val="16"/>
                <w:szCs w:val="16"/>
              </w:rPr>
            </w:pPr>
            <w:r w:rsidRPr="006E65B3">
              <w:rPr>
                <w:rFonts w:ascii="Arial" w:hAnsi="Arial" w:cs="Arial"/>
                <w:b/>
                <w:bCs/>
                <w:sz w:val="16"/>
                <w:szCs w:val="16"/>
              </w:rPr>
              <w:t>Para os itens a seguir, deixar de:</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7</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8</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9</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10</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Iniciar a entrega dos materiais médicos hospitalares nos prazos estabelecidos, observados os limites mínimos estabelecidos no Termo de Referência;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11</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Manter a documentação de habilitação atualizada; por item,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01</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 por dia</w:t>
            </w:r>
          </w:p>
        </w:tc>
      </w:tr>
    </w:tbl>
    <w:p w:rsidR="001A7BFB" w:rsidRDefault="001A7BFB" w:rsidP="006E65B3">
      <w:pPr>
        <w:jc w:val="both"/>
        <w:rPr>
          <w:rFonts w:ascii="Arial" w:hAnsi="Arial" w:cs="Arial"/>
          <w:b/>
          <w:sz w:val="16"/>
          <w:szCs w:val="16"/>
        </w:rPr>
      </w:pPr>
    </w:p>
    <w:p w:rsidR="006E65B3" w:rsidRPr="006E65B3" w:rsidRDefault="006E65B3" w:rsidP="006E65B3">
      <w:pPr>
        <w:jc w:val="both"/>
        <w:rPr>
          <w:rFonts w:ascii="Arial" w:hAnsi="Arial" w:cs="Arial"/>
          <w:sz w:val="16"/>
          <w:szCs w:val="16"/>
        </w:rPr>
      </w:pPr>
      <w:r w:rsidRPr="00206244">
        <w:rPr>
          <w:rFonts w:ascii="Arial" w:hAnsi="Arial" w:cs="Arial"/>
          <w:b/>
          <w:sz w:val="16"/>
          <w:szCs w:val="16"/>
        </w:rPr>
        <w:t>9.11</w:t>
      </w:r>
      <w:r w:rsidRPr="006E65B3">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9.12</w:t>
      </w:r>
      <w:r w:rsidRPr="006E65B3">
        <w:rPr>
          <w:rFonts w:ascii="Arial" w:hAnsi="Arial" w:cs="Arial"/>
          <w:sz w:val="16"/>
          <w:szCs w:val="16"/>
        </w:rPr>
        <w:t xml:space="preserve"> Após 30 (trinta) dias da falta de execução do objeto será considerada inexecução total do contrato, o que ensejara a rescisão contratual;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9.13</w:t>
      </w:r>
      <w:r w:rsidRPr="006E65B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9.14</w:t>
      </w:r>
      <w:r w:rsidRPr="006E65B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9.15</w:t>
      </w:r>
      <w:r w:rsidRPr="006E65B3">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9.16</w:t>
      </w:r>
      <w:r w:rsidRPr="006E65B3">
        <w:rPr>
          <w:rFonts w:ascii="Arial" w:hAnsi="Arial" w:cs="Arial"/>
          <w:sz w:val="16"/>
          <w:szCs w:val="16"/>
        </w:rPr>
        <w:t xml:space="preserve"> A sanção será obrigatoriamente registrada no Sistema de Cadastramento Unificado de Fornecedores - SICAF, bem como em sistemas Estaduais;</w:t>
      </w:r>
    </w:p>
    <w:p w:rsidR="006E65B3" w:rsidRPr="00206244" w:rsidRDefault="006E65B3" w:rsidP="00E54C83">
      <w:pPr>
        <w:rPr>
          <w:rFonts w:ascii="Arial" w:hAnsi="Arial" w:cs="Arial"/>
          <w:sz w:val="16"/>
          <w:szCs w:val="16"/>
        </w:rPr>
      </w:pPr>
      <w:r w:rsidRPr="00206244">
        <w:rPr>
          <w:rFonts w:ascii="Arial" w:hAnsi="Arial" w:cs="Arial"/>
          <w:b/>
          <w:sz w:val="16"/>
          <w:szCs w:val="16"/>
        </w:rPr>
        <w:t>9.17</w:t>
      </w:r>
      <w:r w:rsidRPr="00206244">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6E65B3" w:rsidRPr="00206244" w:rsidRDefault="006E65B3" w:rsidP="00E54C83">
      <w:pPr>
        <w:rPr>
          <w:rFonts w:ascii="Arial" w:hAnsi="Arial" w:cs="Arial"/>
          <w:sz w:val="16"/>
          <w:szCs w:val="16"/>
        </w:rPr>
      </w:pPr>
      <w:r w:rsidRPr="00206244">
        <w:rPr>
          <w:rFonts w:ascii="Arial" w:hAnsi="Arial" w:cs="Arial"/>
          <w:sz w:val="16"/>
          <w:szCs w:val="16"/>
        </w:rPr>
        <w:t>a) Tenham sofrido condenações definitivas por praticarem, por meio dolosos, fraude fiscal no recolhimento de tributos;</w:t>
      </w:r>
    </w:p>
    <w:p w:rsidR="006E65B3" w:rsidRPr="00206244" w:rsidRDefault="006E65B3" w:rsidP="00E54C83">
      <w:pPr>
        <w:rPr>
          <w:rFonts w:ascii="Arial" w:hAnsi="Arial" w:cs="Arial"/>
          <w:sz w:val="16"/>
          <w:szCs w:val="16"/>
        </w:rPr>
      </w:pPr>
      <w:r w:rsidRPr="00206244">
        <w:rPr>
          <w:rFonts w:ascii="Arial" w:hAnsi="Arial" w:cs="Arial"/>
          <w:sz w:val="16"/>
          <w:szCs w:val="16"/>
        </w:rPr>
        <w:t>b) Tenham praticado atos ilícitos visando a frustrar os objetivos da licitação;</w:t>
      </w:r>
    </w:p>
    <w:p w:rsidR="006E65B3" w:rsidRPr="00206244" w:rsidRDefault="006E65B3" w:rsidP="00E54C83">
      <w:pPr>
        <w:rPr>
          <w:rFonts w:ascii="Arial" w:hAnsi="Arial" w:cs="Arial"/>
          <w:sz w:val="16"/>
          <w:szCs w:val="16"/>
        </w:rPr>
      </w:pPr>
      <w:r w:rsidRPr="00206244">
        <w:rPr>
          <w:rFonts w:ascii="Arial" w:hAnsi="Arial" w:cs="Arial"/>
          <w:sz w:val="16"/>
          <w:szCs w:val="16"/>
        </w:rPr>
        <w:t>c) Demonstrem não possuir idoneidade para contratar com a Administração em virtude de atos ilícitos praticados.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Default="0028651E" w:rsidP="001D515A">
      <w:pPr>
        <w:rPr>
          <w:rFonts w:ascii="Arial" w:hAnsi="Arial" w:cs="Arial"/>
          <w:color w:val="000000" w:themeColor="text1"/>
          <w:sz w:val="16"/>
          <w:szCs w:val="16"/>
        </w:rPr>
      </w:pPr>
      <w:r w:rsidRPr="00632D1A">
        <w:rPr>
          <w:rFonts w:ascii="Arial" w:hAnsi="Arial" w:cs="Arial"/>
          <w:color w:val="000000" w:themeColor="text1"/>
          <w:sz w:val="16"/>
          <w:szCs w:val="16"/>
        </w:rPr>
        <w:t xml:space="preserve"> </w:t>
      </w:r>
      <w:r w:rsidRPr="001A7BFB">
        <w:rPr>
          <w:rFonts w:ascii="Arial" w:hAnsi="Arial" w:cs="Arial"/>
          <w:b/>
          <w:color w:val="000000" w:themeColor="text1"/>
          <w:sz w:val="16"/>
          <w:szCs w:val="16"/>
        </w:rPr>
        <w:t>IDEP/RO</w:t>
      </w:r>
      <w:r>
        <w:rPr>
          <w:rFonts w:ascii="Arial" w:hAnsi="Arial"/>
          <w:sz w:val="16"/>
          <w:szCs w:val="16"/>
        </w:rPr>
        <w:t xml:space="preserve"> - </w:t>
      </w:r>
      <w:r w:rsidRPr="00632D1A">
        <w:rPr>
          <w:rFonts w:ascii="Arial" w:hAnsi="Arial" w:cs="Arial"/>
          <w:color w:val="000000" w:themeColor="text1"/>
          <w:sz w:val="16"/>
          <w:szCs w:val="16"/>
        </w:rPr>
        <w:t xml:space="preserve">Instituto Estadual de Desenvolvimento da Educação Profissional </w:t>
      </w:r>
    </w:p>
    <w:p w:rsidR="0028651E" w:rsidRPr="009A54D1" w:rsidRDefault="0028651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1A7BFB">
        <w:rPr>
          <w:rFonts w:ascii="Arial" w:hAnsi="Arial" w:cs="Arial"/>
          <w:b/>
          <w:bCs/>
          <w:color w:val="000000"/>
          <w:sz w:val="16"/>
          <w:szCs w:val="16"/>
        </w:rPr>
        <w:t xml:space="preserve">Márcio Rogerio </w:t>
      </w:r>
      <w:bookmarkStart w:id="1" w:name="_GoBack"/>
      <w:bookmarkEnd w:id="1"/>
      <w:r w:rsidR="00B86640">
        <w:rPr>
          <w:rFonts w:ascii="Arial" w:hAnsi="Arial" w:cs="Arial"/>
          <w:b/>
          <w:bCs/>
          <w:color w:val="000000"/>
          <w:sz w:val="16"/>
          <w:szCs w:val="16"/>
        </w:rPr>
        <w:t xml:space="preserve">Gabriel </w:t>
      </w:r>
      <w:r w:rsidR="00B86640">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1A7BFB" w:rsidP="001D7CAD">
      <w:pPr>
        <w:ind w:right="47"/>
        <w:rPr>
          <w:rFonts w:ascii="Arial" w:hAnsi="Arial" w:cs="Arial"/>
          <w:bCs/>
          <w:color w:val="000000"/>
          <w:sz w:val="16"/>
          <w:szCs w:val="16"/>
        </w:rPr>
      </w:pPr>
      <w:r>
        <w:rPr>
          <w:rFonts w:ascii="Arial" w:hAnsi="Arial" w:cs="Arial"/>
          <w:bCs/>
          <w:color w:val="000000"/>
          <w:sz w:val="16"/>
          <w:szCs w:val="16"/>
        </w:rPr>
        <w:t xml:space="preserve">      Superintendente/SUPEL</w:t>
      </w:r>
      <w:r w:rsidR="005F5204">
        <w:rPr>
          <w:rFonts w:ascii="Arial" w:hAnsi="Arial" w:cs="Arial"/>
          <w:bCs/>
          <w:color w:val="000000"/>
          <w:sz w:val="16"/>
          <w:szCs w:val="16"/>
        </w:rPr>
        <w:t xml:space="preserve"> </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Pr>
          <w:rFonts w:ascii="Arial" w:hAnsi="Arial" w:cs="Arial"/>
          <w:bCs/>
          <w:color w:val="000000"/>
          <w:sz w:val="16"/>
          <w:szCs w:val="16"/>
        </w:rPr>
        <w:t xml:space="preserve">               </w:t>
      </w:r>
      <w:r w:rsidR="00632D1A">
        <w:rPr>
          <w:rFonts w:ascii="Arial" w:hAnsi="Arial" w:cs="Arial"/>
          <w:bCs/>
          <w:color w:val="000000"/>
          <w:sz w:val="16"/>
          <w:szCs w:val="16"/>
        </w:rPr>
        <w:t>Coordenadora do</w:t>
      </w:r>
      <w:r w:rsidR="00674210">
        <w:rPr>
          <w:rFonts w:ascii="Arial" w:hAnsi="Arial" w:cs="Arial"/>
          <w:bCs/>
          <w:color w:val="000000"/>
          <w:sz w:val="16"/>
          <w:szCs w:val="16"/>
        </w:rPr>
        <w:t xml:space="preserve"> Sistema de Registro de Preços</w:t>
      </w:r>
      <w:r>
        <w:rPr>
          <w:rFonts w:ascii="Arial" w:hAnsi="Arial" w:cs="Arial"/>
          <w:bCs/>
          <w:color w:val="000000"/>
          <w:sz w:val="16"/>
          <w:szCs w:val="16"/>
        </w:rPr>
        <w:t>/SUPEL</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8C223E"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D1A" w:rsidRDefault="00632D1A">
      <w:r>
        <w:separator/>
      </w:r>
    </w:p>
  </w:endnote>
  <w:endnote w:type="continuationSeparator" w:id="0">
    <w:p w:rsidR="00632D1A" w:rsidRDefault="00632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D1A" w:rsidRDefault="00632D1A">
      <w:r>
        <w:separator/>
      </w:r>
    </w:p>
  </w:footnote>
  <w:footnote w:type="continuationSeparator" w:id="0">
    <w:p w:rsidR="00632D1A" w:rsidRDefault="00632D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D1A" w:rsidRDefault="00632D1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A7BFB"/>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51E"/>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9388E"/>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4C76"/>
    <w:rsid w:val="00606CE6"/>
    <w:rsid w:val="00611152"/>
    <w:rsid w:val="00620EE6"/>
    <w:rsid w:val="00621F6B"/>
    <w:rsid w:val="00624815"/>
    <w:rsid w:val="006264B5"/>
    <w:rsid w:val="00626615"/>
    <w:rsid w:val="00627D85"/>
    <w:rsid w:val="00627D90"/>
    <w:rsid w:val="006320F6"/>
    <w:rsid w:val="00632D1A"/>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97A9A"/>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3E"/>
    <w:rsid w:val="008C229D"/>
    <w:rsid w:val="008C3385"/>
    <w:rsid w:val="008C447D"/>
    <w:rsid w:val="008C547B"/>
    <w:rsid w:val="008C7613"/>
    <w:rsid w:val="008D4D07"/>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E4F44"/>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640"/>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92F3F41-D7D0-4A23-925C-35DD88DE3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F4CE37-6C33-4E3B-8D91-4498F72E5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3277</Words>
  <Characters>17701</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2017-09-26T18:51:00Z</cp:lastPrinted>
  <dcterms:created xsi:type="dcterms:W3CDTF">2018-04-04T11:56:00Z</dcterms:created>
  <dcterms:modified xsi:type="dcterms:W3CDTF">2018-04-05T13:56:00Z</dcterms:modified>
</cp:coreProperties>
</file>