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53520">
        <w:rPr>
          <w:rFonts w:ascii="Arial" w:hAnsi="Arial" w:cs="Arial"/>
          <w:b/>
          <w:sz w:val="16"/>
          <w:szCs w:val="16"/>
        </w:rPr>
        <w:t>48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53520">
        <w:rPr>
          <w:rFonts w:ascii="Arial" w:hAnsi="Arial" w:cs="Arial"/>
          <w:b/>
          <w:bCs/>
          <w:sz w:val="16"/>
          <w:szCs w:val="16"/>
        </w:rPr>
        <w:t>365/</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353520">
        <w:rPr>
          <w:rFonts w:ascii="Arial" w:hAnsi="Arial" w:cs="Arial"/>
          <w:b/>
          <w:bCs/>
          <w:sz w:val="16"/>
          <w:szCs w:val="16"/>
        </w:rPr>
        <w:t>01.1420.01085-01/2017</w:t>
      </w:r>
    </w:p>
    <w:p w:rsidR="00145D13" w:rsidRPr="00FF1F0B" w:rsidRDefault="00145D13" w:rsidP="009D2314">
      <w:pPr>
        <w:jc w:val="both"/>
        <w:rPr>
          <w:rFonts w:ascii="Arial" w:hAnsi="Arial" w:cs="Arial"/>
          <w:b/>
          <w:sz w:val="16"/>
          <w:szCs w:val="16"/>
        </w:rPr>
      </w:pPr>
    </w:p>
    <w:p w:rsidR="009D2314" w:rsidRPr="00DB3348" w:rsidRDefault="002E300A" w:rsidP="00DB3348">
      <w:pPr>
        <w:rPr>
          <w:rFonts w:ascii="Arial" w:hAnsi="Arial" w:cs="Arial"/>
          <w:color w:val="000000" w:themeColor="text1"/>
          <w:sz w:val="16"/>
          <w:szCs w:val="16"/>
        </w:rPr>
      </w:pPr>
      <w:r w:rsidRPr="00DF042C">
        <w:t xml:space="preserve">Pelo presente instrumento, o </w:t>
      </w:r>
      <w:r w:rsidR="00190648" w:rsidRPr="00DF042C">
        <w:rPr>
          <w:b/>
        </w:rPr>
        <w:t>ESTADO DE RONDÔNIA</w:t>
      </w:r>
      <w:r w:rsidRPr="00DF042C">
        <w:t xml:space="preserve">, através da SUPERINTENDÊNCIA ESTADUAL DE LICITAÇÕES – SUPEL situada à AV. </w:t>
      </w:r>
      <w:r w:rsidRPr="00DB3348">
        <w:rPr>
          <w:rFonts w:ascii="Arial" w:hAnsi="Arial" w:cs="Arial"/>
          <w:sz w:val="16"/>
          <w:szCs w:val="16"/>
        </w:rPr>
        <w:t>FARQUAR N° 2986 COMPLEXO RIO MADEIRA EDIFÍCIO</w:t>
      </w:r>
      <w:r w:rsidR="00624815" w:rsidRPr="00DB3348">
        <w:rPr>
          <w:rFonts w:ascii="Arial" w:hAnsi="Arial" w:cs="Arial"/>
          <w:sz w:val="16"/>
          <w:szCs w:val="16"/>
        </w:rPr>
        <w:t xml:space="preserve">, </w:t>
      </w:r>
      <w:r w:rsidRPr="00DB3348">
        <w:rPr>
          <w:rFonts w:ascii="Arial" w:hAnsi="Arial" w:cs="Arial"/>
          <w:sz w:val="16"/>
          <w:szCs w:val="16"/>
        </w:rPr>
        <w:t xml:space="preserve">RIO </w:t>
      </w:r>
      <w:r w:rsidR="00DE2D9B" w:rsidRPr="00DB3348">
        <w:rPr>
          <w:rFonts w:ascii="Arial" w:hAnsi="Arial" w:cs="Arial"/>
          <w:sz w:val="16"/>
          <w:szCs w:val="16"/>
        </w:rPr>
        <w:t>PACAÁS NOVOS 2</w:t>
      </w:r>
      <w:r w:rsidRPr="00DB3348">
        <w:rPr>
          <w:rFonts w:ascii="Arial" w:hAnsi="Arial" w:cs="Arial"/>
          <w:sz w:val="16"/>
          <w:szCs w:val="16"/>
        </w:rPr>
        <w:t xml:space="preserve">º ANDAR – BAIRRO: PEDRINHAS, neste ato representado pelo </w:t>
      </w:r>
      <w:r w:rsidRPr="00DB3348">
        <w:rPr>
          <w:rFonts w:ascii="Arial" w:hAnsi="Arial" w:cs="Arial"/>
          <w:b/>
          <w:bCs/>
          <w:sz w:val="16"/>
          <w:szCs w:val="16"/>
        </w:rPr>
        <w:t>Superintendente da SUPEL</w:t>
      </w:r>
      <w:r w:rsidRPr="00DB3348">
        <w:rPr>
          <w:rFonts w:ascii="Arial" w:hAnsi="Arial" w:cs="Arial"/>
          <w:sz w:val="16"/>
          <w:szCs w:val="16"/>
        </w:rPr>
        <w:t>, Senhor Márcio Rogério Gabriel e a(s) empresa(s) qualificada(s) no</w:t>
      </w:r>
      <w:r w:rsidR="00190648" w:rsidRPr="00DB3348">
        <w:rPr>
          <w:rFonts w:ascii="Arial" w:hAnsi="Arial" w:cs="Arial"/>
          <w:sz w:val="16"/>
          <w:szCs w:val="16"/>
        </w:rPr>
        <w:t xml:space="preserve"> Anexo Único desta Ata, resolvem</w:t>
      </w:r>
      <w:r w:rsidRPr="00DB3348">
        <w:rPr>
          <w:rFonts w:ascii="Arial" w:hAnsi="Arial" w:cs="Arial"/>
          <w:sz w:val="16"/>
          <w:szCs w:val="16"/>
        </w:rPr>
        <w:t xml:space="preserve"> </w:t>
      </w:r>
      <w:r w:rsidRPr="00DB3348">
        <w:rPr>
          <w:rFonts w:ascii="Arial" w:hAnsi="Arial" w:cs="Arial"/>
          <w:b/>
          <w:bCs/>
          <w:sz w:val="16"/>
          <w:szCs w:val="16"/>
        </w:rPr>
        <w:t>REGISTRAR O PREÇ</w:t>
      </w:r>
      <w:r w:rsidR="00F17DD3" w:rsidRPr="00DB3348">
        <w:rPr>
          <w:rFonts w:ascii="Arial" w:hAnsi="Arial" w:cs="Arial"/>
          <w:b/>
          <w:bCs/>
          <w:sz w:val="16"/>
          <w:szCs w:val="16"/>
        </w:rPr>
        <w:t>O</w:t>
      </w:r>
      <w:r w:rsidR="00C741A8">
        <w:rPr>
          <w:rFonts w:ascii="Arial" w:hAnsi="Arial" w:cs="Arial"/>
          <w:b/>
          <w:bCs/>
          <w:sz w:val="16"/>
          <w:szCs w:val="16"/>
        </w:rPr>
        <w:t xml:space="preserve"> </w:t>
      </w:r>
      <w:r w:rsidR="00C741A8" w:rsidRPr="003333F3">
        <w:rPr>
          <w:rFonts w:ascii="Arial" w:hAnsi="Arial" w:cs="Arial"/>
          <w:sz w:val="16"/>
          <w:szCs w:val="16"/>
        </w:rPr>
        <w:t xml:space="preserve">para futura e eventual </w:t>
      </w:r>
      <w:r w:rsidR="00C741A8" w:rsidRPr="00C741A8">
        <w:rPr>
          <w:rFonts w:ascii="Arial" w:hAnsi="Arial" w:cs="Arial"/>
          <w:sz w:val="16"/>
          <w:szCs w:val="16"/>
        </w:rPr>
        <w:t>contratação de empresa especializada na prestação de serviços de rastreamento e monitoramento de veículos via GPRS, compreendendo a instalação, em comodato, de módulos rastreadores e a disponibilização de software de gerenciamento com acesso via Web, em veículos DER-RO</w:t>
      </w:r>
      <w:r w:rsidR="00A212A5" w:rsidRPr="00DB3348">
        <w:rPr>
          <w:rFonts w:ascii="Arial" w:hAnsi="Arial" w:cs="Arial"/>
          <w:color w:val="000000" w:themeColor="text1"/>
          <w:sz w:val="16"/>
          <w:szCs w:val="16"/>
        </w:rPr>
        <w:t xml:space="preserve">, para o período de 12 meses, conforme especificação completa no Termo de Referência – Anexo I deste Edital </w:t>
      </w:r>
      <w:r w:rsidRPr="00DB334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3348">
        <w:rPr>
          <w:rFonts w:ascii="Arial" w:hAnsi="Arial" w:cs="Arial"/>
          <w:color w:val="000000" w:themeColor="text1"/>
          <w:sz w:val="16"/>
          <w:szCs w:val="16"/>
        </w:rPr>
        <w:t>8.340/13</w:t>
      </w:r>
      <w:r w:rsidRPr="00DB3348">
        <w:rPr>
          <w:rFonts w:ascii="Arial" w:hAnsi="Arial" w:cs="Arial"/>
          <w:color w:val="000000" w:themeColor="text1"/>
          <w:sz w:val="16"/>
          <w:szCs w:val="16"/>
        </w:rPr>
        <w:t xml:space="preserve"> e suas alterações e em conformidade com as disposições a seguir.</w:t>
      </w:r>
    </w:p>
    <w:p w:rsidR="009D2314" w:rsidRPr="00DB3348" w:rsidRDefault="009D2314" w:rsidP="00DB3348">
      <w:pPr>
        <w:rPr>
          <w:rFonts w:ascii="Arial" w:hAnsi="Arial" w:cs="Arial"/>
          <w:color w:val="000000" w:themeColor="text1"/>
          <w:sz w:val="16"/>
          <w:szCs w:val="16"/>
        </w:rPr>
      </w:pPr>
    </w:p>
    <w:p w:rsidR="009D2314" w:rsidRPr="00DB3348" w:rsidRDefault="009D2314" w:rsidP="00DB3348">
      <w:pPr>
        <w:rPr>
          <w:rFonts w:ascii="Arial" w:hAnsi="Arial" w:cs="Arial"/>
          <w:b/>
          <w:bCs/>
          <w:color w:val="000000" w:themeColor="text1"/>
          <w:sz w:val="16"/>
          <w:szCs w:val="16"/>
        </w:rPr>
      </w:pPr>
      <w:r w:rsidRPr="00DB3348">
        <w:rPr>
          <w:rFonts w:ascii="Arial" w:hAnsi="Arial" w:cs="Arial"/>
          <w:b/>
          <w:bCs/>
          <w:color w:val="000000" w:themeColor="text1"/>
          <w:sz w:val="16"/>
          <w:szCs w:val="16"/>
        </w:rPr>
        <w:t>1. DO OBJETO</w:t>
      </w:r>
    </w:p>
    <w:p w:rsidR="00CF6980" w:rsidRDefault="00C741A8" w:rsidP="00D0233F">
      <w:pPr>
        <w:rPr>
          <w:rFonts w:ascii="Arial" w:hAnsi="Arial" w:cs="Arial"/>
          <w:sz w:val="16"/>
          <w:szCs w:val="16"/>
        </w:rPr>
      </w:pPr>
      <w:r>
        <w:rPr>
          <w:rFonts w:ascii="Arial" w:hAnsi="Arial" w:cs="Arial"/>
          <w:b/>
          <w:bCs/>
          <w:sz w:val="16"/>
          <w:szCs w:val="16"/>
        </w:rPr>
        <w:t xml:space="preserve">REGISTRAR O PREÇO </w:t>
      </w:r>
      <w:r w:rsidRPr="003333F3">
        <w:rPr>
          <w:rFonts w:ascii="Arial" w:hAnsi="Arial" w:cs="Arial"/>
          <w:sz w:val="16"/>
          <w:szCs w:val="16"/>
        </w:rPr>
        <w:t xml:space="preserve">para futura e eventual </w:t>
      </w:r>
      <w:r w:rsidRPr="00C741A8">
        <w:rPr>
          <w:rFonts w:ascii="Arial" w:hAnsi="Arial" w:cs="Arial"/>
          <w:sz w:val="16"/>
          <w:szCs w:val="16"/>
        </w:rPr>
        <w:t>contratação de empresa especializada na prestação de serviços de rastreamento e monitoramento de veículos via GPRS, compreendendo a instalação, em comodato, de módulos rastreadores e a disponibilização de software de gerenciamento com acesso via Web, em veículos DER-RO</w:t>
      </w:r>
      <w:bookmarkStart w:id="1" w:name="_GoBack"/>
      <w:bookmarkEnd w:id="1"/>
    </w:p>
    <w:p w:rsidR="00D0233F" w:rsidRDefault="00D0233F" w:rsidP="00D0233F">
      <w:pPr>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B7F5D">
        <w:rPr>
          <w:rFonts w:ascii="Arial" w:hAnsi="Arial" w:cs="Arial"/>
          <w:b/>
          <w:bCs/>
          <w:sz w:val="16"/>
          <w:szCs w:val="16"/>
        </w:rPr>
        <w:t xml:space="preserve">DO PRAZO </w:t>
      </w:r>
      <w:r w:rsidR="008668C5">
        <w:rPr>
          <w:rFonts w:ascii="Arial" w:hAnsi="Arial" w:cs="Arial"/>
          <w:b/>
          <w:bCs/>
          <w:sz w:val="16"/>
          <w:szCs w:val="16"/>
        </w:rPr>
        <w:t xml:space="preserve">DE </w:t>
      </w:r>
      <w:r w:rsidR="00CF6980">
        <w:rPr>
          <w:rFonts w:ascii="Arial" w:hAnsi="Arial" w:cs="Arial"/>
          <w:b/>
          <w:bCs/>
          <w:sz w:val="16"/>
          <w:szCs w:val="16"/>
        </w:rPr>
        <w:t>ENTREGA</w:t>
      </w:r>
      <w:r w:rsidR="008B7F5D">
        <w:rPr>
          <w:rFonts w:ascii="Arial" w:hAnsi="Arial" w:cs="Arial"/>
          <w:b/>
          <w:bCs/>
          <w:sz w:val="16"/>
          <w:szCs w:val="16"/>
        </w:rPr>
        <w:t xml:space="preserve"> E LOCAL DE 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B7F5D" w:rsidRDefault="00206244" w:rsidP="008B7F5D">
      <w:pPr>
        <w:jc w:val="both"/>
        <w:rPr>
          <w:rFonts w:ascii="Arial" w:hAnsi="Arial" w:cs="Arial"/>
          <w:b/>
          <w:bCs/>
          <w:sz w:val="16"/>
          <w:szCs w:val="16"/>
        </w:rPr>
      </w:pPr>
      <w:r w:rsidRPr="00DB3348">
        <w:rPr>
          <w:rFonts w:ascii="Arial" w:hAnsi="Arial" w:cs="Arial"/>
          <w:b/>
          <w:sz w:val="16"/>
          <w:szCs w:val="16"/>
        </w:rPr>
        <w:t>6.3.</w:t>
      </w:r>
      <w:r w:rsidRPr="00DB3348">
        <w:rPr>
          <w:rFonts w:ascii="Arial" w:hAnsi="Arial" w:cs="Arial"/>
          <w:sz w:val="16"/>
          <w:szCs w:val="16"/>
        </w:rPr>
        <w:t xml:space="preserve"> </w:t>
      </w:r>
      <w:r w:rsidR="008B7F5D">
        <w:rPr>
          <w:rFonts w:ascii="Arial" w:hAnsi="Arial" w:cs="Arial"/>
          <w:b/>
          <w:sz w:val="16"/>
          <w:szCs w:val="16"/>
        </w:rPr>
        <w:t>DO PRAZO DE ENTREGA</w:t>
      </w:r>
      <w:r w:rsidR="008B7F5D" w:rsidRPr="008B7F5D">
        <w:rPr>
          <w:rFonts w:ascii="Arial" w:hAnsi="Arial" w:cs="Arial"/>
          <w:b/>
          <w:bCs/>
          <w:sz w:val="16"/>
          <w:szCs w:val="16"/>
        </w:rPr>
        <w:t xml:space="preserve"> </w:t>
      </w:r>
      <w:r w:rsidR="008B7F5D">
        <w:rPr>
          <w:rFonts w:ascii="Arial" w:hAnsi="Arial" w:cs="Arial"/>
          <w:b/>
          <w:bCs/>
          <w:sz w:val="16"/>
          <w:szCs w:val="16"/>
        </w:rPr>
        <w:t>OU EXECUÇÃO</w:t>
      </w:r>
    </w:p>
    <w:p w:rsidR="008B7F5D" w:rsidRDefault="008B7F5D" w:rsidP="007E5C83">
      <w:pPr>
        <w:rPr>
          <w:rFonts w:ascii="Arial" w:hAnsi="Arial" w:cs="Arial"/>
          <w:color w:val="000000"/>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Caso a contratada não tenha sede ou filial em Porto Velho/RO, deverá no máximo de 10 (dez) dias úteis, contados da assinatura do contrato, constituir e manter escritório de representação, com pessoal devidamente autorizado para representá-la administrativa, comercial, técnica e judicialmente, perante o DER/RO durante toda a vigência do contrato. Nesta hipótese, constituído o escritório de representação, a contratada deverá informar esse fato ao gestor do contrato, para que este providencie a emissão da Autorização para iniciar o serviço;</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As instalações dos rastreadores e acessórios nos veículos deverão iniciar em até 10 (dez) dias consecutivos, após a emissão da solicitação pelo gestor do contrato e finalizada em no máximo 30 (trinta) dias contados da mesma data;</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O Software de monitoramento deverá estar totalmente funcional após a instalação dos rastreadores nos primeiros veículos;</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Após a instalação e funcionamento do sistema de rastreamento e monitoramento nos primeiros veículos, a contratada deverá efetuar treinamento para utilização do equipamento e central de monitoramento para os servidores indicados pelo DER/RO;</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As substituições dos Módulos AVL em caso de pane, incondicionalmente serão feitas por um novo no prazo máximo de 02 (dois) dias úteis nos veículos localizados na Capital, e 04 (quatro) dias úteis nos veículos localizados no interior do Estado, a contar do recebimento da Solicitação feita pelo o gestor do contrato;</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A suspensão dos serviços de monitoramento e rastreamento em veículo do DER/RO deve ser realizada no prazo máximo de 02 (dois) dias úteis, a contar do recebimento da Solicitação feita pelo gestor do contrato;</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t>O prazo para ativar o serviço de monitoramento e rastreamento suspenso, será no máximo de 02 (dois) dias úteis, a contar do recebimento da solicitação feita pelo gestor do contrato;</w:t>
      </w:r>
    </w:p>
    <w:p w:rsidR="008B7F5D" w:rsidRPr="008B7F5D" w:rsidRDefault="008B7F5D" w:rsidP="008B7F5D">
      <w:pPr>
        <w:tabs>
          <w:tab w:val="left" w:pos="284"/>
        </w:tabs>
        <w:autoSpaceDE w:val="0"/>
        <w:autoSpaceDN w:val="0"/>
        <w:adjustRightInd w:val="0"/>
        <w:jc w:val="both"/>
        <w:rPr>
          <w:rFonts w:ascii="Arial" w:hAnsi="Arial" w:cs="Arial"/>
          <w:sz w:val="16"/>
          <w:szCs w:val="16"/>
        </w:rPr>
      </w:pPr>
    </w:p>
    <w:p w:rsidR="008B7F5D" w:rsidRPr="008B7F5D" w:rsidRDefault="008B7F5D" w:rsidP="008B7F5D">
      <w:pPr>
        <w:numPr>
          <w:ilvl w:val="0"/>
          <w:numId w:val="46"/>
        </w:numPr>
        <w:tabs>
          <w:tab w:val="left" w:pos="284"/>
        </w:tabs>
        <w:autoSpaceDE w:val="0"/>
        <w:autoSpaceDN w:val="0"/>
        <w:adjustRightInd w:val="0"/>
        <w:ind w:left="0" w:firstLine="0"/>
        <w:jc w:val="both"/>
        <w:rPr>
          <w:rFonts w:ascii="Arial" w:hAnsi="Arial" w:cs="Arial"/>
          <w:sz w:val="16"/>
          <w:szCs w:val="16"/>
        </w:rPr>
      </w:pPr>
      <w:r w:rsidRPr="008B7F5D">
        <w:rPr>
          <w:rFonts w:ascii="Arial" w:hAnsi="Arial" w:cs="Arial"/>
          <w:sz w:val="16"/>
          <w:szCs w:val="16"/>
        </w:rPr>
        <w:lastRenderedPageBreak/>
        <w:t>A transferência de equipamentos de monitoramento/rastreamento entre os veículos do DER/RO, quando necessário, deve ser realizada no prazo máximo de 02 (dois) dias úteis nos veículos localizados na Capital, e 04 (quatro) dias úteis nos veículos localizados no interior do Estado, a contar do recebimento da solicitação feita pelo gestor do contrato.</w:t>
      </w:r>
    </w:p>
    <w:p w:rsidR="008B7F5D" w:rsidRPr="008B7F5D" w:rsidRDefault="008B7F5D" w:rsidP="007E5C83">
      <w:pPr>
        <w:rPr>
          <w:rFonts w:ascii="Arial" w:hAnsi="Arial" w:cs="Arial"/>
          <w:sz w:val="16"/>
          <w:szCs w:val="16"/>
        </w:rPr>
      </w:pPr>
    </w:p>
    <w:p w:rsidR="00C80A35" w:rsidRPr="00964F6C" w:rsidRDefault="007E5C83" w:rsidP="007E5C83">
      <w:pPr>
        <w:rPr>
          <w:rFonts w:ascii="Arial" w:hAnsi="Arial" w:cs="Arial"/>
          <w:bCs/>
          <w:sz w:val="16"/>
          <w:szCs w:val="16"/>
        </w:rPr>
      </w:pPr>
      <w:r>
        <w:rPr>
          <w:rFonts w:ascii="Arial" w:hAnsi="Arial" w:cs="Arial"/>
          <w:bCs/>
          <w:sz w:val="16"/>
          <w:szCs w:val="16"/>
        </w:rPr>
        <w:tab/>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p>
    <w:p w:rsidR="00D0233F" w:rsidRDefault="00D0233F" w:rsidP="00D0233F">
      <w:pPr>
        <w:tabs>
          <w:tab w:val="left" w:pos="426"/>
          <w:tab w:val="left" w:pos="567"/>
        </w:tabs>
        <w:jc w:val="both"/>
        <w:rPr>
          <w:rFonts w:ascii="Arial" w:hAnsi="Arial" w:cs="Arial"/>
          <w:sz w:val="16"/>
          <w:szCs w:val="16"/>
        </w:rPr>
      </w:pPr>
    </w:p>
    <w:p w:rsidR="001B0792" w:rsidRPr="001B0792" w:rsidRDefault="00D0233F" w:rsidP="001B0792">
      <w:pPr>
        <w:tabs>
          <w:tab w:val="left" w:pos="0"/>
          <w:tab w:val="left" w:pos="567"/>
        </w:tabs>
        <w:jc w:val="both"/>
        <w:rPr>
          <w:rFonts w:ascii="Arial" w:hAnsi="Arial" w:cs="Arial"/>
          <w:color w:val="000000"/>
          <w:sz w:val="16"/>
          <w:szCs w:val="16"/>
        </w:rPr>
      </w:pPr>
      <w:r w:rsidRPr="00D0233F">
        <w:rPr>
          <w:rFonts w:ascii="Arial" w:hAnsi="Arial" w:cs="Arial"/>
          <w:b/>
          <w:sz w:val="16"/>
          <w:szCs w:val="16"/>
        </w:rPr>
        <w:t>9.1</w:t>
      </w:r>
      <w:r w:rsidR="001B0792">
        <w:rPr>
          <w:rFonts w:ascii="Arial" w:hAnsi="Arial" w:cs="Arial"/>
          <w:b/>
          <w:sz w:val="16"/>
          <w:szCs w:val="16"/>
        </w:rPr>
        <w:t>.</w:t>
      </w:r>
      <w:r>
        <w:rPr>
          <w:rFonts w:ascii="Arial" w:hAnsi="Arial" w:cs="Arial"/>
          <w:sz w:val="16"/>
          <w:szCs w:val="16"/>
        </w:rPr>
        <w:t xml:space="preserve"> </w:t>
      </w:r>
      <w:r w:rsidR="001B0792" w:rsidRPr="001B0792">
        <w:rPr>
          <w:rFonts w:ascii="Arial" w:hAnsi="Arial" w:cs="Arial"/>
          <w:color w:val="000000"/>
          <w:sz w:val="16"/>
          <w:szCs w:val="16"/>
        </w:rPr>
        <w:t>Pela Inexecução total ou parcial do objeto, o DER-RO poderá, garantida a prévia defesa, aplicar à empresa contratada as seguintes sanções:</w:t>
      </w:r>
    </w:p>
    <w:p w:rsidR="001B0792" w:rsidRPr="001B0792" w:rsidRDefault="001B0792" w:rsidP="001B0792">
      <w:pPr>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9.2.</w:t>
      </w:r>
      <w:r w:rsidRPr="001B0792">
        <w:rPr>
          <w:rFonts w:ascii="Arial" w:hAnsi="Arial" w:cs="Arial"/>
          <w:color w:val="000000"/>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1B0792" w:rsidRPr="001B0792" w:rsidRDefault="001B0792" w:rsidP="001B0792">
      <w:pPr>
        <w:tabs>
          <w:tab w:val="left" w:pos="1276"/>
        </w:tabs>
        <w:ind w:left="567"/>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9.3.</w:t>
      </w:r>
      <w:r w:rsidRPr="001B0792">
        <w:rPr>
          <w:rFonts w:ascii="Arial" w:hAnsi="Arial" w:cs="Arial"/>
          <w:color w:val="000000"/>
          <w:sz w:val="16"/>
          <w:szCs w:val="16"/>
        </w:rPr>
        <w:t xml:space="preserve"> Multa moratória correspondente a 0,5% (cinco décimos por cento) sobre o valor do contrato/ serviço, por dia de atraso no cumprimento das obrigações assumidas, até a data do efetivo adimplemento, observado o limite de 10 (dez) dias corridos, após o qual será caracterizada a inexecução parcial ou total do contrato, conforme o caso;</w:t>
      </w:r>
    </w:p>
    <w:p w:rsidR="001B0792" w:rsidRPr="001B0792" w:rsidRDefault="001B0792" w:rsidP="001B0792">
      <w:pPr>
        <w:jc w:val="both"/>
        <w:rPr>
          <w:rFonts w:ascii="Arial" w:hAnsi="Arial" w:cs="Arial"/>
          <w:color w:val="000000"/>
          <w:sz w:val="16"/>
          <w:szCs w:val="16"/>
        </w:rPr>
      </w:pPr>
    </w:p>
    <w:p w:rsidR="001B0792" w:rsidRPr="001B0792" w:rsidRDefault="001B0792" w:rsidP="001B0792">
      <w:pPr>
        <w:tabs>
          <w:tab w:val="left" w:pos="1701"/>
        </w:tabs>
        <w:jc w:val="both"/>
        <w:rPr>
          <w:rFonts w:ascii="Arial" w:hAnsi="Arial" w:cs="Arial"/>
          <w:color w:val="000000"/>
          <w:sz w:val="16"/>
          <w:szCs w:val="16"/>
        </w:rPr>
      </w:pPr>
      <w:r w:rsidRPr="001B0792">
        <w:rPr>
          <w:rFonts w:ascii="Arial" w:hAnsi="Arial" w:cs="Arial"/>
          <w:b/>
          <w:color w:val="000000"/>
          <w:sz w:val="16"/>
          <w:szCs w:val="16"/>
        </w:rPr>
        <w:t>9.4.</w:t>
      </w:r>
      <w:r w:rsidRPr="001B0792">
        <w:rPr>
          <w:rFonts w:ascii="Arial" w:hAnsi="Arial" w:cs="Arial"/>
          <w:color w:val="000000"/>
          <w:sz w:val="16"/>
          <w:szCs w:val="16"/>
        </w:rPr>
        <w:t xml:space="preserve"> </w:t>
      </w:r>
      <w:r w:rsidRPr="001B0792">
        <w:rPr>
          <w:rFonts w:ascii="Arial" w:hAnsi="Arial" w:cs="Arial"/>
          <w:color w:val="000000"/>
          <w:sz w:val="16"/>
          <w:szCs w:val="16"/>
        </w:rPr>
        <w:t>A multa moratória será aplicada a partir do 1º dia útil da inadimplência, contado da data definida para o regular cumprimento da obrigação;</w:t>
      </w:r>
    </w:p>
    <w:p w:rsidR="001B0792" w:rsidRPr="001B0792" w:rsidRDefault="001B0792" w:rsidP="001B0792">
      <w:pPr>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9.5</w:t>
      </w:r>
      <w:r w:rsidRPr="001B0792">
        <w:rPr>
          <w:rFonts w:ascii="Arial" w:hAnsi="Arial" w:cs="Arial"/>
          <w:b/>
          <w:color w:val="000000"/>
          <w:sz w:val="16"/>
          <w:szCs w:val="16"/>
        </w:rPr>
        <w:t>.</w:t>
      </w:r>
      <w:r w:rsidRPr="001B0792">
        <w:rPr>
          <w:rFonts w:ascii="Arial" w:hAnsi="Arial" w:cs="Arial"/>
          <w:color w:val="000000"/>
          <w:sz w:val="16"/>
          <w:szCs w:val="16"/>
        </w:rPr>
        <w:t xml:space="preserve"> Multa moratória de 0,5% (cinco décimos por cento) sobre o valor do contrato/serviço, por dia de atraso na assinatura do instrumento contratual ou no recebimento da Ordem de Fornecimento/Serviço ou da Nota de Emprenho, observado o limite de 10 (dez) dias corridos, após o qual será caracterizada a inexecução total do contrato, salvo no caso de justificativa aceita pela Administração;</w:t>
      </w:r>
    </w:p>
    <w:p w:rsidR="001B0792" w:rsidRPr="001B0792" w:rsidRDefault="001B0792" w:rsidP="001B0792">
      <w:pPr>
        <w:tabs>
          <w:tab w:val="left" w:pos="1276"/>
        </w:tabs>
        <w:ind w:left="567"/>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9.6</w:t>
      </w:r>
      <w:r w:rsidRPr="001B0792">
        <w:rPr>
          <w:rFonts w:ascii="Arial" w:hAnsi="Arial" w:cs="Arial"/>
          <w:b/>
          <w:color w:val="000000"/>
          <w:sz w:val="16"/>
          <w:szCs w:val="16"/>
        </w:rPr>
        <w:t>.</w:t>
      </w:r>
      <w:r w:rsidRPr="001B0792">
        <w:rPr>
          <w:rFonts w:ascii="Arial" w:hAnsi="Arial" w:cs="Arial"/>
          <w:color w:val="000000"/>
          <w:sz w:val="16"/>
          <w:szCs w:val="16"/>
        </w:rPr>
        <w:t xml:space="preserve"> Multa de 10% (dez por cento) sobre o valor do contrato/serviço,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B0792" w:rsidRPr="001B0792" w:rsidRDefault="001B0792" w:rsidP="001B0792">
      <w:pPr>
        <w:tabs>
          <w:tab w:val="left" w:pos="1276"/>
        </w:tabs>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9.7</w:t>
      </w:r>
      <w:r w:rsidRPr="001B0792">
        <w:rPr>
          <w:rFonts w:ascii="Arial" w:hAnsi="Arial" w:cs="Arial"/>
          <w:b/>
          <w:color w:val="000000"/>
          <w:sz w:val="16"/>
          <w:szCs w:val="16"/>
        </w:rPr>
        <w:t>.</w:t>
      </w:r>
      <w:r w:rsidRPr="001B0792">
        <w:rPr>
          <w:rFonts w:ascii="Arial" w:hAnsi="Arial" w:cs="Arial"/>
          <w:color w:val="000000"/>
          <w:sz w:val="16"/>
          <w:szCs w:val="16"/>
        </w:rPr>
        <w:t xml:space="preserve"> Multa de 10% (dez por cento) sobre o valor do produto não entregue, no caso de inexecução parcial, sem embargo de indenização dos prejuízos porventura causados ao DER/RO pela execução parcial do contrato;</w:t>
      </w:r>
    </w:p>
    <w:p w:rsidR="001B0792" w:rsidRPr="001B0792" w:rsidRDefault="001B0792" w:rsidP="001B0792">
      <w:pPr>
        <w:tabs>
          <w:tab w:val="left" w:pos="1276"/>
        </w:tabs>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9.8</w:t>
      </w:r>
      <w:r w:rsidRPr="001B0792">
        <w:rPr>
          <w:rFonts w:ascii="Arial" w:hAnsi="Arial" w:cs="Arial"/>
          <w:b/>
          <w:color w:val="000000"/>
          <w:sz w:val="16"/>
          <w:szCs w:val="16"/>
        </w:rPr>
        <w:t>.</w:t>
      </w:r>
      <w:r w:rsidRPr="001B0792">
        <w:rPr>
          <w:rFonts w:ascii="Arial" w:hAnsi="Arial" w:cs="Arial"/>
          <w:color w:val="000000"/>
          <w:sz w:val="16"/>
          <w:szCs w:val="16"/>
        </w:rPr>
        <w:t xml:space="preserve"> Multa de 10% (dez por cento) sobre o valor total do contrato, no caso de sua inexecução total, sem embargo de indenização dos prejuízos porventura causados ao DER/RO;</w:t>
      </w:r>
    </w:p>
    <w:p w:rsidR="001B0792" w:rsidRPr="001B0792" w:rsidRDefault="001B0792" w:rsidP="001B0792">
      <w:pPr>
        <w:tabs>
          <w:tab w:val="left" w:pos="1276"/>
        </w:tabs>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9.9</w:t>
      </w:r>
      <w:r w:rsidRPr="001B0792">
        <w:rPr>
          <w:rFonts w:ascii="Arial" w:hAnsi="Arial" w:cs="Arial"/>
          <w:color w:val="000000"/>
          <w:sz w:val="16"/>
          <w:szCs w:val="16"/>
        </w:rPr>
        <w:t>. Multa de 10% (dez por cento) sobre o valor do produto não entregue e serviços que não forem prestados, pela recusa injustificada na substituição de material/ serviço defeituoso no prazo estabelecido neste Termo de Referência;</w:t>
      </w:r>
    </w:p>
    <w:p w:rsidR="001B0792" w:rsidRPr="001B0792" w:rsidRDefault="001B0792" w:rsidP="001B0792">
      <w:pPr>
        <w:tabs>
          <w:tab w:val="left" w:pos="1276"/>
        </w:tabs>
        <w:ind w:left="567"/>
        <w:jc w:val="both"/>
        <w:rPr>
          <w:rFonts w:ascii="Arial" w:hAnsi="Arial" w:cs="Arial"/>
          <w:color w:val="000000"/>
          <w:sz w:val="16"/>
          <w:szCs w:val="16"/>
        </w:rPr>
      </w:pPr>
    </w:p>
    <w:p w:rsidR="001B0792" w:rsidRPr="001B0792" w:rsidRDefault="001B0792" w:rsidP="001B0792">
      <w:pPr>
        <w:tabs>
          <w:tab w:val="left" w:pos="1276"/>
        </w:tabs>
        <w:jc w:val="both"/>
        <w:rPr>
          <w:rFonts w:ascii="Arial" w:hAnsi="Arial" w:cs="Arial"/>
          <w:color w:val="000000"/>
          <w:sz w:val="16"/>
          <w:szCs w:val="16"/>
        </w:rPr>
      </w:pPr>
      <w:r w:rsidRPr="001B0792">
        <w:rPr>
          <w:rFonts w:ascii="Arial" w:hAnsi="Arial" w:cs="Arial"/>
          <w:b/>
          <w:color w:val="000000"/>
          <w:sz w:val="16"/>
          <w:szCs w:val="16"/>
        </w:rPr>
        <w:t>9.10</w:t>
      </w:r>
      <w:r w:rsidRPr="001B0792">
        <w:rPr>
          <w:rFonts w:ascii="Arial" w:hAnsi="Arial" w:cs="Arial"/>
          <w:b/>
          <w:color w:val="000000"/>
          <w:sz w:val="16"/>
          <w:szCs w:val="16"/>
        </w:rPr>
        <w:t>.</w:t>
      </w:r>
      <w:r w:rsidRPr="001B0792">
        <w:rPr>
          <w:rFonts w:ascii="Arial" w:hAnsi="Arial" w:cs="Arial"/>
          <w:color w:val="000000"/>
          <w:sz w:val="16"/>
          <w:szCs w:val="16"/>
        </w:rPr>
        <w:t xml:space="preserve"> Multa moratória de 0,5% (cinco décimos por cento) sobre o valor do produto/ serviço não entregue/prestado, por dia de atraso na substituição do material/serviço defeituoso, observado o limite de 10 (dez) dias corridos, após o qual será considerada a inexecução parcial do contrato, salvo em caso de justificativa aceita pela administração;</w:t>
      </w:r>
    </w:p>
    <w:p w:rsidR="001B0792" w:rsidRPr="001B0792" w:rsidRDefault="001B0792" w:rsidP="001B0792">
      <w:pPr>
        <w:jc w:val="both"/>
        <w:rPr>
          <w:rFonts w:ascii="Arial" w:hAnsi="Arial" w:cs="Arial"/>
          <w:color w:val="000000"/>
          <w:sz w:val="16"/>
          <w:szCs w:val="16"/>
        </w:rPr>
      </w:pPr>
    </w:p>
    <w:p w:rsidR="001B0792" w:rsidRPr="001B0792" w:rsidRDefault="001B0792" w:rsidP="001B0792">
      <w:pPr>
        <w:tabs>
          <w:tab w:val="left" w:pos="567"/>
        </w:tabs>
        <w:jc w:val="both"/>
        <w:rPr>
          <w:rFonts w:ascii="Arial" w:hAnsi="Arial" w:cs="Arial"/>
          <w:color w:val="000000"/>
          <w:sz w:val="16"/>
          <w:szCs w:val="16"/>
        </w:rPr>
      </w:pPr>
      <w:r w:rsidRPr="001B0792">
        <w:rPr>
          <w:rFonts w:ascii="Arial" w:hAnsi="Arial" w:cs="Arial"/>
          <w:b/>
          <w:color w:val="000000"/>
          <w:sz w:val="16"/>
          <w:szCs w:val="16"/>
        </w:rPr>
        <w:t>9.11</w:t>
      </w:r>
      <w:r w:rsidRPr="001B0792">
        <w:rPr>
          <w:rFonts w:ascii="Arial" w:hAnsi="Arial" w:cs="Arial"/>
          <w:color w:val="000000"/>
          <w:sz w:val="16"/>
          <w:szCs w:val="16"/>
        </w:rPr>
        <w:t xml:space="preserve">. A multa prevista nos subitens </w:t>
      </w:r>
      <w:r w:rsidR="00B12F9A">
        <w:rPr>
          <w:rFonts w:ascii="Arial" w:hAnsi="Arial" w:cs="Arial"/>
          <w:color w:val="000000"/>
          <w:sz w:val="16"/>
          <w:szCs w:val="16"/>
        </w:rPr>
        <w:t>9.3, 9.4.</w:t>
      </w:r>
      <w:r w:rsidRPr="001B0792">
        <w:rPr>
          <w:rFonts w:ascii="Arial" w:hAnsi="Arial" w:cs="Arial"/>
          <w:color w:val="000000"/>
          <w:sz w:val="16"/>
          <w:szCs w:val="16"/>
        </w:rPr>
        <w:t xml:space="preserve"> e </w:t>
      </w:r>
      <w:r w:rsidR="00B12F9A">
        <w:rPr>
          <w:rFonts w:ascii="Arial" w:hAnsi="Arial" w:cs="Arial"/>
          <w:color w:val="000000"/>
          <w:sz w:val="16"/>
          <w:szCs w:val="16"/>
        </w:rPr>
        <w:t>9.10.</w:t>
      </w:r>
      <w:r w:rsidRPr="001B0792">
        <w:rPr>
          <w:rFonts w:ascii="Arial" w:hAnsi="Arial" w:cs="Arial"/>
          <w:color w:val="000000"/>
          <w:sz w:val="16"/>
          <w:szCs w:val="16"/>
        </w:rPr>
        <w:t xml:space="preserve"> </w:t>
      </w:r>
      <w:r w:rsidR="00B12F9A" w:rsidRPr="001B0792">
        <w:rPr>
          <w:rFonts w:ascii="Arial" w:hAnsi="Arial" w:cs="Arial"/>
          <w:color w:val="000000"/>
          <w:sz w:val="16"/>
          <w:szCs w:val="16"/>
        </w:rPr>
        <w:t>Poderão</w:t>
      </w:r>
      <w:r w:rsidRPr="001B0792">
        <w:rPr>
          <w:rFonts w:ascii="Arial" w:hAnsi="Arial" w:cs="Arial"/>
          <w:color w:val="000000"/>
          <w:sz w:val="16"/>
          <w:szCs w:val="16"/>
        </w:rPr>
        <w:t xml:space="preserve"> ser aplicadas isoladas ou em conjunto com as previstas nos subitens </w:t>
      </w:r>
      <w:r w:rsidR="00B12F9A">
        <w:rPr>
          <w:rFonts w:ascii="Arial" w:hAnsi="Arial" w:cs="Arial"/>
          <w:color w:val="000000"/>
          <w:sz w:val="16"/>
          <w:szCs w:val="16"/>
        </w:rPr>
        <w:t>9.7</w:t>
      </w:r>
      <w:r w:rsidRPr="001B0792">
        <w:rPr>
          <w:rFonts w:ascii="Arial" w:hAnsi="Arial" w:cs="Arial"/>
          <w:color w:val="000000"/>
          <w:sz w:val="16"/>
          <w:szCs w:val="16"/>
        </w:rPr>
        <w:t xml:space="preserve"> e </w:t>
      </w:r>
      <w:r w:rsidR="00B12F9A">
        <w:rPr>
          <w:rFonts w:ascii="Arial" w:hAnsi="Arial" w:cs="Arial"/>
          <w:color w:val="000000"/>
          <w:sz w:val="16"/>
          <w:szCs w:val="16"/>
        </w:rPr>
        <w:t>9.8</w:t>
      </w:r>
      <w:r w:rsidRPr="001B0792">
        <w:rPr>
          <w:rFonts w:ascii="Arial" w:hAnsi="Arial" w:cs="Arial"/>
          <w:color w:val="000000"/>
          <w:sz w:val="16"/>
          <w:szCs w:val="16"/>
        </w:rPr>
        <w:t>;</w:t>
      </w:r>
    </w:p>
    <w:p w:rsidR="001B0792" w:rsidRPr="001B0792" w:rsidRDefault="001B0792" w:rsidP="001B0792">
      <w:pPr>
        <w:tabs>
          <w:tab w:val="left" w:pos="567"/>
        </w:tabs>
        <w:jc w:val="both"/>
        <w:rPr>
          <w:rFonts w:ascii="Arial" w:hAnsi="Arial" w:cs="Arial"/>
          <w:color w:val="000000"/>
          <w:sz w:val="16"/>
          <w:szCs w:val="16"/>
        </w:rPr>
      </w:pPr>
    </w:p>
    <w:p w:rsidR="001B0792" w:rsidRPr="001B0792" w:rsidRDefault="001B0792" w:rsidP="001B0792">
      <w:pPr>
        <w:tabs>
          <w:tab w:val="left" w:pos="567"/>
        </w:tabs>
        <w:jc w:val="both"/>
        <w:rPr>
          <w:rFonts w:ascii="Arial" w:hAnsi="Arial" w:cs="Arial"/>
          <w:color w:val="000000"/>
          <w:sz w:val="16"/>
          <w:szCs w:val="16"/>
        </w:rPr>
      </w:pPr>
      <w:r w:rsidRPr="001B0792">
        <w:rPr>
          <w:rFonts w:ascii="Arial" w:hAnsi="Arial" w:cs="Arial"/>
          <w:b/>
          <w:color w:val="000000"/>
          <w:sz w:val="16"/>
          <w:szCs w:val="16"/>
        </w:rPr>
        <w:t>9.12</w:t>
      </w:r>
      <w:r w:rsidRPr="001B0792">
        <w:rPr>
          <w:rFonts w:ascii="Arial" w:hAnsi="Arial" w:cs="Arial"/>
          <w:b/>
          <w:color w:val="000000"/>
          <w:sz w:val="16"/>
          <w:szCs w:val="16"/>
        </w:rPr>
        <w:t>.</w:t>
      </w:r>
      <w:r w:rsidRPr="001B0792">
        <w:rPr>
          <w:rFonts w:ascii="Arial" w:hAnsi="Arial" w:cs="Arial"/>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B0792" w:rsidRPr="001B0792" w:rsidRDefault="001B0792" w:rsidP="001B0792">
      <w:pPr>
        <w:pStyle w:val="PargrafodaLista1"/>
        <w:tabs>
          <w:tab w:val="left" w:pos="142"/>
        </w:tabs>
        <w:ind w:left="0"/>
        <w:jc w:val="both"/>
        <w:rPr>
          <w:rFonts w:ascii="Arial" w:eastAsia="Times New Roman" w:hAnsi="Arial" w:cs="Arial"/>
          <w:color w:val="000000"/>
          <w:kern w:val="0"/>
          <w:sz w:val="16"/>
          <w:szCs w:val="16"/>
          <w:lang w:eastAsia="pt-BR" w:bidi="ar-SA"/>
        </w:rPr>
      </w:pPr>
    </w:p>
    <w:p w:rsidR="001B0792" w:rsidRPr="001B0792" w:rsidRDefault="001B0792" w:rsidP="001B0792">
      <w:pPr>
        <w:pStyle w:val="PargrafodaLista1"/>
        <w:tabs>
          <w:tab w:val="left" w:pos="142"/>
        </w:tabs>
        <w:ind w:left="0"/>
        <w:jc w:val="both"/>
        <w:rPr>
          <w:rFonts w:ascii="Arial" w:eastAsia="Times New Roman" w:hAnsi="Arial" w:cs="Arial"/>
          <w:color w:val="000000"/>
          <w:kern w:val="0"/>
          <w:sz w:val="16"/>
          <w:szCs w:val="16"/>
          <w:lang w:eastAsia="pt-BR" w:bidi="ar-SA"/>
        </w:rPr>
      </w:pPr>
      <w:r w:rsidRPr="001B0792">
        <w:rPr>
          <w:rFonts w:ascii="Arial" w:eastAsia="Times New Roman" w:hAnsi="Arial" w:cs="Arial"/>
          <w:b/>
          <w:color w:val="000000"/>
          <w:kern w:val="0"/>
          <w:sz w:val="16"/>
          <w:szCs w:val="16"/>
          <w:lang w:eastAsia="pt-BR" w:bidi="ar-SA"/>
        </w:rPr>
        <w:t>9.13</w:t>
      </w:r>
      <w:r w:rsidRPr="001B0792">
        <w:rPr>
          <w:rFonts w:ascii="Arial" w:eastAsia="Times New Roman" w:hAnsi="Arial" w:cs="Arial"/>
          <w:b/>
          <w:color w:val="000000"/>
          <w:kern w:val="0"/>
          <w:sz w:val="16"/>
          <w:szCs w:val="16"/>
          <w:lang w:eastAsia="pt-BR" w:bidi="ar-SA"/>
        </w:rPr>
        <w:t>.</w:t>
      </w:r>
      <w:r w:rsidRPr="001B0792">
        <w:rPr>
          <w:rFonts w:ascii="Arial" w:eastAsia="Times New Roman" w:hAnsi="Arial" w:cs="Arial"/>
          <w:color w:val="000000"/>
          <w:kern w:val="0"/>
          <w:sz w:val="16"/>
          <w:szCs w:val="16"/>
          <w:lang w:eastAsia="pt-BR" w:bidi="ar-SA"/>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1B0792" w:rsidRPr="001B0792" w:rsidRDefault="001B0792" w:rsidP="001B0792">
      <w:pPr>
        <w:tabs>
          <w:tab w:val="left" w:pos="567"/>
        </w:tabs>
        <w:jc w:val="both"/>
        <w:rPr>
          <w:rFonts w:ascii="Arial" w:hAnsi="Arial" w:cs="Arial"/>
          <w:b/>
          <w:color w:val="000000"/>
          <w:sz w:val="16"/>
          <w:szCs w:val="16"/>
        </w:rPr>
      </w:pPr>
    </w:p>
    <w:p w:rsidR="001B0792" w:rsidRPr="001B0792" w:rsidRDefault="001B0792" w:rsidP="001B0792">
      <w:pPr>
        <w:tabs>
          <w:tab w:val="left" w:pos="567"/>
        </w:tabs>
        <w:jc w:val="both"/>
        <w:rPr>
          <w:rFonts w:ascii="Arial" w:hAnsi="Arial" w:cs="Arial"/>
          <w:color w:val="000000"/>
          <w:sz w:val="16"/>
          <w:szCs w:val="16"/>
        </w:rPr>
      </w:pPr>
      <w:r w:rsidRPr="001B0792">
        <w:rPr>
          <w:rFonts w:ascii="Arial" w:hAnsi="Arial" w:cs="Arial"/>
          <w:b/>
          <w:color w:val="000000"/>
          <w:sz w:val="16"/>
          <w:szCs w:val="16"/>
        </w:rPr>
        <w:t>9.14</w:t>
      </w:r>
      <w:r w:rsidRPr="001B0792">
        <w:rPr>
          <w:rFonts w:ascii="Arial" w:hAnsi="Arial" w:cs="Arial"/>
          <w:b/>
          <w:color w:val="000000"/>
          <w:sz w:val="16"/>
          <w:szCs w:val="16"/>
        </w:rPr>
        <w:t>.</w:t>
      </w:r>
      <w:r w:rsidRPr="001B0792">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B0792" w:rsidRPr="00BF3386" w:rsidRDefault="001B0792" w:rsidP="001B0792">
      <w:pPr>
        <w:tabs>
          <w:tab w:val="left" w:pos="567"/>
        </w:tabs>
        <w:jc w:val="both"/>
        <w:rPr>
          <w:rFonts w:ascii="Arial" w:hAnsi="Arial" w:cs="Arial"/>
          <w:bCs/>
          <w:sz w:val="21"/>
          <w:szCs w:val="21"/>
        </w:rPr>
      </w:pPr>
    </w:p>
    <w:p w:rsidR="009D2314" w:rsidRPr="009B3214" w:rsidRDefault="00CC63C7" w:rsidP="001B0792">
      <w:pPr>
        <w:tabs>
          <w:tab w:val="left" w:pos="426"/>
          <w:tab w:val="left" w:pos="567"/>
        </w:tabs>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1B0792">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CA5123">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CA5123">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25094B"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971B6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B03CB0" w:rsidRPr="00B03CB0">
        <w:rPr>
          <w:rFonts w:ascii="Arial" w:hAnsi="Arial" w:cs="Arial"/>
          <w:sz w:val="16"/>
          <w:szCs w:val="16"/>
        </w:rPr>
        <w:t xml:space="preserve"> - </w:t>
      </w:r>
      <w:r w:rsidRPr="00C80A35">
        <w:rPr>
          <w:rStyle w:val="Forte"/>
          <w:rFonts w:ascii="Arial" w:eastAsiaTheme="majorEastAsia" w:hAnsi="Arial" w:cs="Arial"/>
          <w:b w:val="0"/>
          <w:color w:val="000000"/>
          <w:sz w:val="16"/>
          <w:szCs w:val="16"/>
        </w:rPr>
        <w:t>Departamento De Estradas, Rodagem, Infraestrutura E Serviços Públicos</w:t>
      </w:r>
      <w:r>
        <w:rPr>
          <w:rStyle w:val="Forte"/>
          <w:rFonts w:ascii="Arial" w:eastAsiaTheme="majorEastAsia" w:hAnsi="Arial" w:cs="Arial"/>
          <w:b w:val="0"/>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w:t>
      </w:r>
      <w:r w:rsidR="007743B6">
        <w:rPr>
          <w:rFonts w:ascii="Arial" w:hAnsi="Arial" w:cs="Arial"/>
          <w:b/>
          <w:bCs/>
          <w:color w:val="000000"/>
          <w:sz w:val="16"/>
          <w:szCs w:val="16"/>
        </w:rPr>
        <w:t>SUELEN TORRES DA SILVA</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r w:rsidR="007743B6">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F4190E" w:rsidRDefault="00F4190E" w:rsidP="00526790">
      <w:pPr>
        <w:ind w:right="47"/>
        <w:jc w:val="both"/>
        <w:rPr>
          <w:rFonts w:ascii="Arial" w:hAnsi="Arial" w:cs="Arial"/>
          <w:b/>
          <w:bCs/>
          <w:color w:val="000000"/>
          <w:sz w:val="10"/>
          <w:szCs w:val="10"/>
        </w:rPr>
      </w:pPr>
    </w:p>
    <w:p w:rsidR="00F4190E" w:rsidRDefault="00F4190E" w:rsidP="00526790">
      <w:pPr>
        <w:ind w:right="47"/>
        <w:jc w:val="both"/>
        <w:rPr>
          <w:rFonts w:ascii="Arial" w:hAnsi="Arial" w:cs="Arial"/>
          <w:b/>
          <w:bCs/>
          <w:color w:val="000000"/>
          <w:sz w:val="10"/>
          <w:szCs w:val="10"/>
        </w:rPr>
      </w:pPr>
    </w:p>
    <w:p w:rsidR="00C50BF7" w:rsidRPr="00C50BF7" w:rsidRDefault="00F4190E"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8B" w:rsidRDefault="00D7048B">
      <w:r>
        <w:separator/>
      </w:r>
    </w:p>
  </w:endnote>
  <w:endnote w:type="continuationSeparator" w:id="0">
    <w:p w:rsidR="00D7048B" w:rsidRDefault="00D7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8B" w:rsidRDefault="00D7048B">
      <w:r>
        <w:separator/>
      </w:r>
    </w:p>
  </w:footnote>
  <w:footnote w:type="continuationSeparator" w:id="0">
    <w:p w:rsidR="00D7048B" w:rsidRDefault="00D7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48B" w:rsidRDefault="00D704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CF06006"/>
    <w:multiLevelType w:val="hybridMultilevel"/>
    <w:tmpl w:val="3566DA62"/>
    <w:lvl w:ilvl="0" w:tplc="1C06636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1">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38"/>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3"/>
  </w:num>
  <w:num w:numId="14">
    <w:abstractNumId w:val="42"/>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0"/>
  </w:num>
  <w:num w:numId="23">
    <w:abstractNumId w:val="34"/>
  </w:num>
  <w:num w:numId="24">
    <w:abstractNumId w:val="13"/>
  </w:num>
  <w:num w:numId="25">
    <w:abstractNumId w:val="44"/>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2"/>
  </w:num>
  <w:num w:numId="34">
    <w:abstractNumId w:val="18"/>
  </w:num>
  <w:num w:numId="35">
    <w:abstractNumId w:val="36"/>
  </w:num>
  <w:num w:numId="36">
    <w:abstractNumId w:val="19"/>
  </w:num>
  <w:num w:numId="37">
    <w:abstractNumId w:val="2"/>
  </w:num>
  <w:num w:numId="38">
    <w:abstractNumId w:val="43"/>
  </w:num>
  <w:num w:numId="39">
    <w:abstractNumId w:val="7"/>
  </w:num>
  <w:num w:numId="40">
    <w:abstractNumId w:val="20"/>
  </w:num>
  <w:num w:numId="41">
    <w:abstractNumId w:val="46"/>
  </w:num>
  <w:num w:numId="42">
    <w:abstractNumId w:val="41"/>
  </w:num>
  <w:num w:numId="43">
    <w:abstractNumId w:val="45"/>
  </w:num>
  <w:num w:numId="44">
    <w:abstractNumId w:val="8"/>
  </w:num>
  <w:num w:numId="45">
    <w:abstractNumId w:val="25"/>
  </w:num>
  <w:num w:numId="46">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0792"/>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094B"/>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520"/>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6FC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5239"/>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3B6"/>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C83"/>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B7F5D"/>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9A"/>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D4E"/>
    <w:rsid w:val="00C55C34"/>
    <w:rsid w:val="00C60FBD"/>
    <w:rsid w:val="00C62207"/>
    <w:rsid w:val="00C66F1C"/>
    <w:rsid w:val="00C71E07"/>
    <w:rsid w:val="00C722CC"/>
    <w:rsid w:val="00C72D84"/>
    <w:rsid w:val="00C741A8"/>
    <w:rsid w:val="00C80898"/>
    <w:rsid w:val="00C80A35"/>
    <w:rsid w:val="00C81030"/>
    <w:rsid w:val="00C82C4D"/>
    <w:rsid w:val="00C82EC0"/>
    <w:rsid w:val="00C840A8"/>
    <w:rsid w:val="00C84721"/>
    <w:rsid w:val="00C8738C"/>
    <w:rsid w:val="00C90ABF"/>
    <w:rsid w:val="00C94EB6"/>
    <w:rsid w:val="00C97ABC"/>
    <w:rsid w:val="00CA10B3"/>
    <w:rsid w:val="00CA512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233F"/>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348"/>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277"/>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190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E5BF2"/>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5C50B9-A75E-4374-A10A-1810585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36419335">
      <w:bodyDiv w:val="1"/>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3552F-D67F-4965-929C-B8A99AAEE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2885</Words>
  <Characters>16253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8</cp:revision>
  <cp:lastPrinted>2017-09-26T18:51:00Z</cp:lastPrinted>
  <dcterms:created xsi:type="dcterms:W3CDTF">2018-02-16T16:21:00Z</dcterms:created>
  <dcterms:modified xsi:type="dcterms:W3CDTF">2018-02-16T16:53:00Z</dcterms:modified>
</cp:coreProperties>
</file>