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531B4">
        <w:rPr>
          <w:rFonts w:ascii="Arial" w:hAnsi="Arial" w:cs="Arial"/>
          <w:b/>
          <w:sz w:val="16"/>
          <w:szCs w:val="16"/>
        </w:rPr>
        <w:t>042</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5531B4">
        <w:rPr>
          <w:rFonts w:ascii="Arial" w:hAnsi="Arial" w:cs="Arial"/>
          <w:b/>
          <w:bCs/>
          <w:sz w:val="16"/>
          <w:szCs w:val="16"/>
        </w:rPr>
        <w:t>646/2016</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5531B4">
        <w:rPr>
          <w:rFonts w:ascii="Arial" w:hAnsi="Arial" w:cs="Arial"/>
          <w:b/>
          <w:bCs/>
          <w:sz w:val="16"/>
          <w:szCs w:val="16"/>
        </w:rPr>
        <w:t>01.1712.02311-00/2016</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6E65B3" w:rsidRPr="006E65B3">
        <w:rPr>
          <w:rFonts w:ascii="Arial" w:hAnsi="Arial" w:cs="Arial"/>
          <w:sz w:val="16"/>
          <w:szCs w:val="16"/>
        </w:rPr>
        <w:t xml:space="preserve">Futura e Eventual </w:t>
      </w:r>
      <w:r w:rsidR="005531B4" w:rsidRPr="005531B4">
        <w:rPr>
          <w:rFonts w:ascii="Arial" w:hAnsi="Arial" w:cs="Arial"/>
          <w:color w:val="000000" w:themeColor="text1"/>
          <w:sz w:val="16"/>
          <w:szCs w:val="16"/>
        </w:rPr>
        <w:t xml:space="preserve">aquisição </w:t>
      </w:r>
      <w:r w:rsidR="001D15E2">
        <w:rPr>
          <w:rFonts w:ascii="Arial" w:hAnsi="Arial" w:cs="Arial"/>
          <w:color w:val="000000" w:themeColor="text1"/>
          <w:sz w:val="16"/>
          <w:szCs w:val="16"/>
        </w:rPr>
        <w:t>de impressora(s) térmica(s), com</w:t>
      </w:r>
      <w:r w:rsidR="005531B4" w:rsidRPr="005531B4">
        <w:rPr>
          <w:rFonts w:ascii="Arial" w:hAnsi="Arial" w:cs="Arial"/>
          <w:color w:val="000000" w:themeColor="text1"/>
          <w:sz w:val="16"/>
          <w:szCs w:val="16"/>
        </w:rPr>
        <w:t xml:space="preserve"> etiquetas e </w:t>
      </w:r>
      <w:proofErr w:type="spellStart"/>
      <w:r w:rsidR="005531B4" w:rsidRPr="005531B4">
        <w:rPr>
          <w:rFonts w:ascii="Arial" w:hAnsi="Arial" w:cs="Arial"/>
          <w:color w:val="000000" w:themeColor="text1"/>
          <w:sz w:val="16"/>
          <w:szCs w:val="16"/>
        </w:rPr>
        <w:t>ribbon</w:t>
      </w:r>
      <w:proofErr w:type="spellEnd"/>
      <w:r w:rsidR="005531B4" w:rsidRPr="005531B4">
        <w:rPr>
          <w:rFonts w:ascii="Arial" w:hAnsi="Arial" w:cs="Arial"/>
          <w:color w:val="000000" w:themeColor="text1"/>
          <w:sz w:val="16"/>
          <w:szCs w:val="16"/>
        </w:rPr>
        <w:t>, a fim de atender unidade da SESAU</w:t>
      </w:r>
      <w:r w:rsidR="006E65B3" w:rsidRPr="006E65B3">
        <w:rPr>
          <w:rFonts w:ascii="Arial" w:hAnsi="Arial" w:cs="Arial"/>
          <w:sz w:val="16"/>
          <w:szCs w:val="16"/>
        </w:rPr>
        <w:t xml:space="preserve">, </w:t>
      </w:r>
      <w:r w:rsidR="006E65B3" w:rsidRPr="006E65B3">
        <w:rPr>
          <w:rFonts w:ascii="Arial" w:hAnsi="Arial" w:cs="Arial"/>
          <w:bCs/>
          <w:sz w:val="16"/>
          <w:szCs w:val="16"/>
        </w:rPr>
        <w:t>a</w:t>
      </w:r>
      <w:r w:rsidR="006E65B3" w:rsidRPr="009F78DE">
        <w:rPr>
          <w:rFonts w:ascii="Arial" w:hAnsi="Arial" w:cs="Arial"/>
          <w:bCs/>
          <w:sz w:val="16"/>
          <w:szCs w:val="16"/>
        </w:rPr>
        <w:t xml:space="preserve">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92053C" w:rsidRPr="006E65B3">
        <w:rPr>
          <w:rFonts w:ascii="Arial" w:hAnsi="Arial" w:cs="Arial"/>
          <w:sz w:val="16"/>
          <w:szCs w:val="16"/>
        </w:rPr>
        <w:t xml:space="preserve">Futura e Eventual </w:t>
      </w:r>
      <w:r w:rsidR="005531B4" w:rsidRPr="005531B4">
        <w:rPr>
          <w:rFonts w:ascii="Arial" w:hAnsi="Arial" w:cs="Arial"/>
          <w:color w:val="000000" w:themeColor="text1"/>
          <w:sz w:val="16"/>
          <w:szCs w:val="16"/>
        </w:rPr>
        <w:t xml:space="preserve">aquisição </w:t>
      </w:r>
      <w:r w:rsidR="001D15E2">
        <w:rPr>
          <w:rFonts w:ascii="Arial" w:hAnsi="Arial" w:cs="Arial"/>
          <w:color w:val="000000" w:themeColor="text1"/>
          <w:sz w:val="16"/>
          <w:szCs w:val="16"/>
        </w:rPr>
        <w:t>de impressora(s) térmica(s), com</w:t>
      </w:r>
      <w:r w:rsidR="005531B4" w:rsidRPr="005531B4">
        <w:rPr>
          <w:rFonts w:ascii="Arial" w:hAnsi="Arial" w:cs="Arial"/>
          <w:color w:val="000000" w:themeColor="text1"/>
          <w:sz w:val="16"/>
          <w:szCs w:val="16"/>
        </w:rPr>
        <w:t xml:space="preserve"> etiquetas e </w:t>
      </w:r>
      <w:proofErr w:type="spellStart"/>
      <w:r w:rsidR="005531B4" w:rsidRPr="005531B4">
        <w:rPr>
          <w:rFonts w:ascii="Arial" w:hAnsi="Arial" w:cs="Arial"/>
          <w:color w:val="000000" w:themeColor="text1"/>
          <w:sz w:val="16"/>
          <w:szCs w:val="16"/>
        </w:rPr>
        <w:t>ribbon</w:t>
      </w:r>
      <w:proofErr w:type="spellEnd"/>
      <w:r w:rsidR="005531B4" w:rsidRPr="005531B4">
        <w:rPr>
          <w:rFonts w:ascii="Arial" w:hAnsi="Arial" w:cs="Arial"/>
          <w:color w:val="000000" w:themeColor="text1"/>
          <w:sz w:val="16"/>
          <w:szCs w:val="16"/>
        </w:rPr>
        <w:t>, a fim de atender unidade da SESAU</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r w:rsidR="001D15E2">
        <w:rPr>
          <w:rFonts w:ascii="Arial" w:hAnsi="Arial" w:cs="Arial"/>
          <w:bCs/>
          <w:sz w:val="16"/>
          <w:szCs w:val="16"/>
        </w:rPr>
        <w:t>/RO</w:t>
      </w:r>
      <w:r w:rsidR="009F78DE" w:rsidRPr="009F78DE">
        <w:rPr>
          <w:rFonts w:ascii="Arial" w:hAnsi="Arial" w:cs="Arial"/>
          <w:bCs/>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206244" w:rsidRPr="00010733" w:rsidRDefault="00206244" w:rsidP="00010733">
      <w:pPr>
        <w:rPr>
          <w:rFonts w:ascii="Arial" w:hAnsi="Arial" w:cs="Arial"/>
          <w:b/>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proofErr w:type="gramStart"/>
      <w:r w:rsidRPr="006E65B3">
        <w:rPr>
          <w:rFonts w:ascii="Arial" w:hAnsi="Arial" w:cs="Arial"/>
          <w:b/>
          <w:sz w:val="16"/>
          <w:szCs w:val="16"/>
        </w:rPr>
        <w:t>:</w:t>
      </w:r>
      <w:r w:rsidRPr="006E65B3">
        <w:rPr>
          <w:rFonts w:ascii="Arial" w:hAnsi="Arial" w:cs="Arial"/>
          <w:color w:val="000000" w:themeColor="text1"/>
          <w:sz w:val="16"/>
          <w:szCs w:val="16"/>
        </w:rPr>
        <w:t xml:space="preserve"> </w:t>
      </w:r>
      <w:r w:rsidR="005531B4" w:rsidRPr="00430973">
        <w:rPr>
          <w:rFonts w:ascii="Arial" w:hAnsi="Arial" w:cs="Arial"/>
          <w:b/>
        </w:rPr>
        <w:t>:</w:t>
      </w:r>
      <w:proofErr w:type="gramEnd"/>
      <w:r w:rsidR="005531B4" w:rsidRPr="00430973">
        <w:rPr>
          <w:rFonts w:ascii="Arial" w:hAnsi="Arial" w:cs="Arial"/>
          <w:b/>
        </w:rPr>
        <w:t xml:space="preserve"> </w:t>
      </w:r>
      <w:r w:rsidR="005531B4" w:rsidRPr="005531B4">
        <w:rPr>
          <w:rFonts w:ascii="Arial" w:hAnsi="Arial" w:cs="Arial"/>
          <w:sz w:val="16"/>
          <w:szCs w:val="16"/>
        </w:rPr>
        <w:t>a vencedora deverá efetuar a entrega dos materiais no prazo máximo de até 30 (trinta) dias corridos após a retirada da Nota de Empenho, vedada a dilação do prazo acima, exceto em caso de força maior ou caso fortuito, devidamente justificados e aceitos pela Administração. No ato da entrega, os materiais devem possuir no mínimo 85% (oitenta e cinco por cento) do prazo de validade estabelecido.</w:t>
      </w:r>
    </w:p>
    <w:p w:rsidR="00010733" w:rsidRDefault="00206244" w:rsidP="00010733">
      <w:pPr>
        <w:rPr>
          <w:rFonts w:ascii="Arial" w:hAnsi="Arial" w:cs="Arial"/>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010733" w:rsidRPr="00010733">
        <w:rPr>
          <w:rFonts w:ascii="Arial" w:hAnsi="Arial" w:cs="Arial"/>
          <w:sz w:val="16"/>
          <w:szCs w:val="16"/>
        </w:rPr>
        <w:t xml:space="preserve">os materiais deverão ser entregues no Gerencia de Almoxarifado e Patrimônio da Secretaria de Estado da Saúde, sito à Rua Rio Madeira, nº. </w:t>
      </w:r>
      <w:proofErr w:type="gramStart"/>
      <w:r w:rsidR="00010733" w:rsidRPr="00010733">
        <w:rPr>
          <w:rFonts w:ascii="Arial" w:hAnsi="Arial" w:cs="Arial"/>
          <w:sz w:val="16"/>
          <w:szCs w:val="16"/>
        </w:rPr>
        <w:t>603, Bairro</w:t>
      </w:r>
      <w:proofErr w:type="gramEnd"/>
      <w:r w:rsidR="00010733" w:rsidRPr="00010733">
        <w:rPr>
          <w:rFonts w:ascii="Arial" w:hAnsi="Arial" w:cs="Arial"/>
          <w:sz w:val="16"/>
          <w:szCs w:val="16"/>
        </w:rPr>
        <w:t xml:space="preserve"> Nova Porto Velho, na cidade de Porto Velho – RO, no horário das 7:30 ás 13:30 horas.</w:t>
      </w:r>
    </w:p>
    <w:p w:rsidR="00010733" w:rsidRDefault="00010733" w:rsidP="00010733">
      <w:pPr>
        <w:rPr>
          <w:rFonts w:ascii="Arial" w:hAnsi="Arial" w:cs="Arial"/>
          <w:sz w:val="16"/>
          <w:szCs w:val="16"/>
        </w:rPr>
      </w:pPr>
    </w:p>
    <w:p w:rsidR="009D2314" w:rsidRPr="00CF6980" w:rsidRDefault="00A14D66" w:rsidP="00010733">
      <w:pPr>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010733" w:rsidRDefault="00010733" w:rsidP="006E65B3">
      <w:pPr>
        <w:pStyle w:val="NormalWeb"/>
        <w:spacing w:before="0" w:beforeAutospacing="0" w:after="0" w:afterAutospacing="0"/>
        <w:jc w:val="both"/>
        <w:rPr>
          <w:rFonts w:ascii="Arial" w:hAnsi="Arial" w:cs="Arial"/>
          <w:sz w:val="16"/>
          <w:szCs w:val="16"/>
        </w:rPr>
      </w:pPr>
    </w:p>
    <w:p w:rsidR="00010733" w:rsidRDefault="00010733" w:rsidP="006E65B3">
      <w:pPr>
        <w:pStyle w:val="NormalWeb"/>
        <w:spacing w:before="0" w:beforeAutospacing="0" w:after="0" w:afterAutospacing="0"/>
        <w:jc w:val="both"/>
        <w:rPr>
          <w:rFonts w:ascii="Arial" w:hAnsi="Arial" w:cs="Arial"/>
          <w:sz w:val="16"/>
          <w:szCs w:val="16"/>
        </w:rPr>
      </w:pPr>
    </w:p>
    <w:p w:rsidR="00010733" w:rsidRDefault="00010733" w:rsidP="006E65B3">
      <w:pPr>
        <w:pStyle w:val="NormalWeb"/>
        <w:spacing w:before="0" w:beforeAutospacing="0" w:after="0" w:afterAutospacing="0"/>
        <w:jc w:val="both"/>
        <w:rPr>
          <w:rFonts w:ascii="Arial" w:hAnsi="Arial" w:cs="Arial"/>
          <w:sz w:val="16"/>
          <w:szCs w:val="16"/>
        </w:rPr>
      </w:pPr>
    </w:p>
    <w:p w:rsidR="00010733" w:rsidRDefault="00010733" w:rsidP="006E65B3">
      <w:pPr>
        <w:pStyle w:val="NormalWeb"/>
        <w:spacing w:before="0" w:beforeAutospacing="0" w:after="0" w:afterAutospacing="0"/>
        <w:jc w:val="both"/>
        <w:rPr>
          <w:rFonts w:ascii="Arial" w:hAnsi="Arial" w:cs="Arial"/>
          <w:sz w:val="16"/>
          <w:szCs w:val="16"/>
        </w:rPr>
      </w:pPr>
    </w:p>
    <w:p w:rsidR="00010733" w:rsidRDefault="00010733" w:rsidP="006E65B3">
      <w:pPr>
        <w:pStyle w:val="NormalWeb"/>
        <w:spacing w:before="0" w:beforeAutospacing="0" w:after="0" w:afterAutospacing="0"/>
        <w:jc w:val="both"/>
        <w:rPr>
          <w:rFonts w:ascii="Arial" w:hAnsi="Arial" w:cs="Arial"/>
          <w:sz w:val="16"/>
          <w:szCs w:val="16"/>
        </w:rPr>
      </w:pPr>
    </w:p>
    <w:p w:rsidR="00010733" w:rsidRPr="00D961FE" w:rsidRDefault="00010733" w:rsidP="006E65B3">
      <w:pPr>
        <w:pStyle w:val="NormalWeb"/>
        <w:spacing w:before="0" w:beforeAutospacing="0" w:after="0" w:afterAutospacing="0"/>
        <w:jc w:val="both"/>
        <w:rPr>
          <w:rFonts w:ascii="Arial" w:hAnsi="Arial" w:cs="Arial"/>
          <w:sz w:val="16"/>
          <w:szCs w:val="16"/>
        </w:rPr>
      </w:pP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010733" w:rsidRPr="00010733" w:rsidRDefault="00010733" w:rsidP="00010733">
      <w:pPr>
        <w:rPr>
          <w:rFonts w:ascii="Arial" w:hAnsi="Arial" w:cs="Arial"/>
          <w:sz w:val="16"/>
          <w:szCs w:val="16"/>
        </w:rPr>
      </w:pPr>
      <w:r>
        <w:rPr>
          <w:rFonts w:ascii="Arial" w:hAnsi="Arial" w:cs="Arial"/>
          <w:sz w:val="16"/>
          <w:szCs w:val="16"/>
        </w:rPr>
        <w:lastRenderedPageBreak/>
        <w:t>9</w:t>
      </w:r>
      <w:r w:rsidRPr="00010733">
        <w:rPr>
          <w:rFonts w:ascii="Arial" w:hAnsi="Arial" w:cs="Arial"/>
          <w:sz w:val="16"/>
          <w:szCs w:val="16"/>
        </w:rPr>
        <w:t>.1 Pela inexecução total ou parcial do objeto contratado, a Secretaria de Estado da Saúde poderá, garantida a prévia defesa e mediante publicação no Diário Oficial do Estado, aplicar, nos termos do art. 87 da Lei 8.666/93, as seguintes penalidades:</w:t>
      </w:r>
    </w:p>
    <w:p w:rsidR="00010733" w:rsidRPr="00010733" w:rsidRDefault="00010733" w:rsidP="00010733">
      <w:pPr>
        <w:rPr>
          <w:rFonts w:ascii="Arial" w:hAnsi="Arial" w:cs="Arial"/>
          <w:sz w:val="16"/>
          <w:szCs w:val="16"/>
        </w:rPr>
      </w:pPr>
      <w:proofErr w:type="gramStart"/>
      <w:r w:rsidRPr="00010733">
        <w:rPr>
          <w:rFonts w:ascii="Arial" w:hAnsi="Arial" w:cs="Arial"/>
          <w:sz w:val="16"/>
          <w:szCs w:val="16"/>
        </w:rPr>
        <w:t>a</w:t>
      </w:r>
      <w:proofErr w:type="gramEnd"/>
      <w:r w:rsidRPr="00010733">
        <w:rPr>
          <w:rFonts w:ascii="Arial" w:hAnsi="Arial" w:cs="Arial"/>
          <w:sz w:val="16"/>
          <w:szCs w:val="16"/>
        </w:rPr>
        <w:t>) Advertência por escrito;</w:t>
      </w:r>
    </w:p>
    <w:p w:rsidR="00010733" w:rsidRPr="00010733" w:rsidRDefault="00010733" w:rsidP="00010733">
      <w:pPr>
        <w:rPr>
          <w:rFonts w:ascii="Arial" w:hAnsi="Arial" w:cs="Arial"/>
          <w:sz w:val="16"/>
          <w:szCs w:val="16"/>
        </w:rPr>
      </w:pPr>
      <w:proofErr w:type="gramStart"/>
      <w:r w:rsidRPr="00010733">
        <w:rPr>
          <w:rFonts w:ascii="Arial" w:hAnsi="Arial" w:cs="Arial"/>
          <w:sz w:val="16"/>
          <w:szCs w:val="16"/>
        </w:rPr>
        <w:t>b)</w:t>
      </w:r>
      <w:proofErr w:type="gramEnd"/>
      <w:r w:rsidRPr="00010733">
        <w:rPr>
          <w:rFonts w:ascii="Arial" w:hAnsi="Arial" w:cs="Arial"/>
          <w:sz w:val="16"/>
          <w:szCs w:val="16"/>
        </w:rPr>
        <w:t> Multa compensatória das perdas e danos sofridos pela Administração, que será aplicada da seguinte forma:</w:t>
      </w:r>
    </w:p>
    <w:p w:rsidR="00010733" w:rsidRPr="00010733" w:rsidRDefault="00010733" w:rsidP="00010733">
      <w:pPr>
        <w:rPr>
          <w:rFonts w:ascii="Arial" w:hAnsi="Arial" w:cs="Arial"/>
          <w:sz w:val="16"/>
          <w:szCs w:val="16"/>
        </w:rPr>
      </w:pPr>
      <w:proofErr w:type="gramStart"/>
      <w:r w:rsidRPr="00010733">
        <w:rPr>
          <w:rFonts w:ascii="Arial" w:hAnsi="Arial" w:cs="Arial"/>
          <w:sz w:val="16"/>
          <w:szCs w:val="16"/>
        </w:rPr>
        <w:t>b1</w:t>
      </w:r>
      <w:proofErr w:type="gramEnd"/>
      <w:r w:rsidRPr="00010733">
        <w:rPr>
          <w:rFonts w:ascii="Arial" w:hAnsi="Arial" w:cs="Arial"/>
          <w:sz w:val="16"/>
          <w:szCs w:val="16"/>
        </w:rPr>
        <w:t xml:space="preserve"> - No caso de inexecução parcial do Contrato, multa compensatória de 10% (dez por cento) sobre o valor da obrigação não cumprida;</w:t>
      </w:r>
    </w:p>
    <w:p w:rsidR="00010733" w:rsidRPr="00010733" w:rsidRDefault="00010733" w:rsidP="00010733">
      <w:pPr>
        <w:rPr>
          <w:rFonts w:ascii="Arial" w:hAnsi="Arial" w:cs="Arial"/>
          <w:sz w:val="16"/>
          <w:szCs w:val="16"/>
        </w:rPr>
      </w:pPr>
      <w:proofErr w:type="gramStart"/>
      <w:r w:rsidRPr="00010733">
        <w:rPr>
          <w:rFonts w:ascii="Arial" w:hAnsi="Arial" w:cs="Arial"/>
          <w:sz w:val="16"/>
          <w:szCs w:val="16"/>
        </w:rPr>
        <w:t>b2</w:t>
      </w:r>
      <w:proofErr w:type="gramEnd"/>
      <w:r w:rsidRPr="00010733">
        <w:rPr>
          <w:rFonts w:ascii="Arial" w:hAnsi="Arial" w:cs="Arial"/>
          <w:sz w:val="16"/>
          <w:szCs w:val="16"/>
        </w:rPr>
        <w:t xml:space="preserve"> - No caso de inexecução total do Contrato, multa compensatória de 10% (dez por cento) sobre o Valor Global.</w:t>
      </w:r>
    </w:p>
    <w:p w:rsidR="00010733" w:rsidRPr="00010733" w:rsidRDefault="00010733" w:rsidP="00010733">
      <w:pPr>
        <w:rPr>
          <w:rFonts w:ascii="Arial" w:hAnsi="Arial" w:cs="Arial"/>
          <w:sz w:val="16"/>
          <w:szCs w:val="16"/>
        </w:rPr>
      </w:pPr>
      <w:proofErr w:type="gramStart"/>
      <w:r w:rsidRPr="00010733">
        <w:rPr>
          <w:rFonts w:ascii="Arial" w:hAnsi="Arial" w:cs="Arial"/>
          <w:sz w:val="16"/>
          <w:szCs w:val="16"/>
        </w:rPr>
        <w:t>c)</w:t>
      </w:r>
      <w:proofErr w:type="gramEnd"/>
      <w:r w:rsidRPr="00010733">
        <w:rPr>
          <w:rFonts w:ascii="Arial" w:hAnsi="Arial" w:cs="Arial"/>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concedida sempre que o contratado ressarcir os prejuízos resultantes e depois de decorrido o prazo da sanção aplicada;</w:t>
      </w:r>
    </w:p>
    <w:p w:rsidR="00010733" w:rsidRPr="00010733" w:rsidRDefault="00010733" w:rsidP="00010733">
      <w:pPr>
        <w:rPr>
          <w:rFonts w:ascii="Arial" w:hAnsi="Arial" w:cs="Arial"/>
          <w:sz w:val="16"/>
          <w:szCs w:val="16"/>
        </w:rPr>
      </w:pPr>
      <w:r>
        <w:rPr>
          <w:rFonts w:ascii="Arial" w:hAnsi="Arial" w:cs="Arial"/>
          <w:sz w:val="16"/>
          <w:szCs w:val="16"/>
        </w:rPr>
        <w:t>9</w:t>
      </w:r>
      <w:r w:rsidRPr="00010733">
        <w:rPr>
          <w:rFonts w:ascii="Arial" w:hAnsi="Arial" w:cs="Arial"/>
          <w:sz w:val="16"/>
          <w:szCs w:val="16"/>
        </w:rPr>
        <w:t>.2 Se a adjudicatária recusar-se a retirar o instrumento contratual injustificadamente ou se não apresentar situação regular na ocasião dos recebimentos, aplicar-se-á multa de até 10% (dez por cento) sobre o valor adjudicado, assegurado o contraditório;</w:t>
      </w:r>
    </w:p>
    <w:p w:rsidR="00010733" w:rsidRPr="00010733" w:rsidRDefault="00010733" w:rsidP="00010733">
      <w:pPr>
        <w:rPr>
          <w:rFonts w:ascii="Arial" w:hAnsi="Arial" w:cs="Arial"/>
          <w:sz w:val="16"/>
          <w:szCs w:val="16"/>
        </w:rPr>
      </w:pPr>
      <w:r>
        <w:rPr>
          <w:rFonts w:ascii="Arial" w:hAnsi="Arial" w:cs="Arial"/>
          <w:sz w:val="16"/>
          <w:szCs w:val="16"/>
        </w:rPr>
        <w:t>9</w:t>
      </w:r>
      <w:r w:rsidRPr="00010733">
        <w:rPr>
          <w:rFonts w:ascii="Arial" w:hAnsi="Arial" w:cs="Arial"/>
          <w:sz w:val="16"/>
          <w:szCs w:val="16"/>
        </w:rPr>
        <w:t>.3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ficará impedida, garantida a prévia e ampla defesa, de licitar e contratar com o Estado, e será descredenciado do Cadastro de Fornecedores Estadual, pelo prazo de até 05 (cinco) anos, sem prejuízo das multas previstas neste Termo de Referência e das demais cominações legais. A penalidade será incluída no Sistema de Cadastramento de Fornecedores - SICAF e no Cadastro Geral de Fornecedores – CAGEFOR;</w:t>
      </w:r>
    </w:p>
    <w:p w:rsidR="00010733" w:rsidRPr="00010733" w:rsidRDefault="00010733" w:rsidP="00010733">
      <w:pPr>
        <w:rPr>
          <w:rFonts w:ascii="Arial" w:hAnsi="Arial" w:cs="Arial"/>
          <w:sz w:val="16"/>
          <w:szCs w:val="16"/>
        </w:rPr>
      </w:pPr>
      <w:r>
        <w:rPr>
          <w:rFonts w:ascii="Arial" w:hAnsi="Arial" w:cs="Arial"/>
          <w:sz w:val="16"/>
          <w:szCs w:val="16"/>
        </w:rPr>
        <w:t>9</w:t>
      </w:r>
      <w:r w:rsidRPr="00010733">
        <w:rPr>
          <w:rFonts w:ascii="Arial" w:hAnsi="Arial" w:cs="Arial"/>
          <w:sz w:val="16"/>
          <w:szCs w:val="16"/>
        </w:rPr>
        <w:t>.4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Esgotadas essas providências, a multa será inscrita na dívida ativa, podendo, a Administração proceder à cobrança judicial;</w:t>
      </w:r>
    </w:p>
    <w:p w:rsidR="00010733" w:rsidRPr="00010733" w:rsidRDefault="00010733" w:rsidP="00010733">
      <w:pPr>
        <w:rPr>
          <w:rFonts w:ascii="Arial" w:hAnsi="Arial" w:cs="Arial"/>
          <w:sz w:val="16"/>
          <w:szCs w:val="16"/>
        </w:rPr>
      </w:pPr>
      <w:r>
        <w:rPr>
          <w:rFonts w:ascii="Arial" w:hAnsi="Arial" w:cs="Arial"/>
          <w:sz w:val="16"/>
          <w:szCs w:val="16"/>
        </w:rPr>
        <w:t>9</w:t>
      </w:r>
      <w:r w:rsidRPr="00010733">
        <w:rPr>
          <w:rFonts w:ascii="Arial" w:hAnsi="Arial" w:cs="Arial"/>
          <w:sz w:val="16"/>
          <w:szCs w:val="16"/>
        </w:rPr>
        <w:t>.5 As multas previstas nesta seção não eximem a adjudicatária ou contratada da reparação dos eventuais perdas e danos que seu ato venha causar à Administração;</w:t>
      </w:r>
    </w:p>
    <w:p w:rsidR="00010733" w:rsidRPr="00010733" w:rsidRDefault="00010733" w:rsidP="00010733">
      <w:pPr>
        <w:rPr>
          <w:rFonts w:ascii="Arial" w:hAnsi="Arial" w:cs="Arial"/>
          <w:sz w:val="16"/>
          <w:szCs w:val="16"/>
        </w:rPr>
      </w:pPr>
      <w:r>
        <w:rPr>
          <w:rFonts w:ascii="Arial" w:hAnsi="Arial" w:cs="Arial"/>
          <w:sz w:val="16"/>
          <w:szCs w:val="16"/>
        </w:rPr>
        <w:t>9</w:t>
      </w:r>
      <w:r w:rsidRPr="00010733">
        <w:rPr>
          <w:rFonts w:ascii="Arial" w:hAnsi="Arial" w:cs="Arial"/>
          <w:sz w:val="16"/>
          <w:szCs w:val="16"/>
        </w:rPr>
        <w:t xml:space="preserve">.6 A empresa contratada deverá comunicar à Secretaria de Estado da Saúde a ocorrência da inexecução do ajuste por motivo de força maior ou caso fortuito, no de prazo de 02 (dois) dias de sua verificação, e apresentar os documentos da respectiva comprovação em até 05 (cinco) dias contados do evento, </w:t>
      </w:r>
      <w:proofErr w:type="gramStart"/>
      <w:r w:rsidRPr="00010733">
        <w:rPr>
          <w:rFonts w:ascii="Arial" w:hAnsi="Arial" w:cs="Arial"/>
          <w:sz w:val="16"/>
          <w:szCs w:val="16"/>
        </w:rPr>
        <w:t>sob pena</w:t>
      </w:r>
      <w:proofErr w:type="gramEnd"/>
      <w:r w:rsidRPr="00010733">
        <w:rPr>
          <w:rFonts w:ascii="Arial" w:hAnsi="Arial" w:cs="Arial"/>
          <w:sz w:val="16"/>
          <w:szCs w:val="16"/>
        </w:rPr>
        <w:t xml:space="preserve"> de não serem considerados os motivos alegados.</w:t>
      </w:r>
    </w:p>
    <w:p w:rsidR="00010733" w:rsidRPr="00010733" w:rsidRDefault="00010733" w:rsidP="00010733">
      <w:pPr>
        <w:rPr>
          <w:rFonts w:ascii="Arial" w:hAnsi="Arial" w:cs="Arial"/>
          <w:sz w:val="16"/>
          <w:szCs w:val="16"/>
        </w:rPr>
      </w:pPr>
      <w:r>
        <w:rPr>
          <w:rFonts w:ascii="Arial" w:hAnsi="Arial" w:cs="Arial"/>
          <w:sz w:val="16"/>
          <w:szCs w:val="16"/>
        </w:rPr>
        <w:t>9</w:t>
      </w:r>
      <w:r w:rsidRPr="00010733">
        <w:rPr>
          <w:rFonts w:ascii="Arial" w:hAnsi="Arial" w:cs="Arial"/>
          <w:sz w:val="16"/>
          <w:szCs w:val="16"/>
        </w:rPr>
        <w:t>.7 A SESAU, no prazo máximo de até 05 (cinco) dias consecutivos, contados do recebimento dos documentos de comprovação, deverá aceitar ou recusar os motivos alegados, dando por escrito às razões de sua eventual aceitação ou recusa;</w:t>
      </w:r>
    </w:p>
    <w:p w:rsidR="00010733" w:rsidRPr="00010733" w:rsidRDefault="00010733" w:rsidP="00010733">
      <w:pPr>
        <w:rPr>
          <w:rFonts w:ascii="Arial" w:hAnsi="Arial" w:cs="Arial"/>
          <w:sz w:val="16"/>
          <w:szCs w:val="16"/>
        </w:rPr>
      </w:pPr>
      <w:r>
        <w:rPr>
          <w:rFonts w:ascii="Arial" w:hAnsi="Arial" w:cs="Arial"/>
          <w:sz w:val="16"/>
          <w:szCs w:val="16"/>
        </w:rPr>
        <w:t>9</w:t>
      </w:r>
      <w:r w:rsidRPr="00010733">
        <w:rPr>
          <w:rFonts w:ascii="Arial" w:hAnsi="Arial" w:cs="Arial"/>
          <w:sz w:val="16"/>
          <w:szCs w:val="16"/>
        </w:rPr>
        <w:t>.8 Na hipótese de que venha a ser aplicada multa prevista neste Termo de Referência, o depósito do valor da mesma deverá ser feito no Banco, agência e conta corrente indicados na Nota Fiscal;</w:t>
      </w:r>
    </w:p>
    <w:p w:rsidR="00010733" w:rsidRPr="00010733" w:rsidRDefault="00010733" w:rsidP="00010733">
      <w:pPr>
        <w:rPr>
          <w:rFonts w:ascii="Arial" w:hAnsi="Arial" w:cs="Arial"/>
          <w:sz w:val="16"/>
          <w:szCs w:val="16"/>
        </w:rPr>
      </w:pPr>
      <w:r>
        <w:rPr>
          <w:rFonts w:ascii="Arial" w:hAnsi="Arial" w:cs="Arial"/>
          <w:sz w:val="16"/>
          <w:szCs w:val="16"/>
        </w:rPr>
        <w:t>9</w:t>
      </w:r>
      <w:r w:rsidRPr="00010733">
        <w:rPr>
          <w:rFonts w:ascii="Arial" w:hAnsi="Arial" w:cs="Arial"/>
          <w:sz w:val="16"/>
          <w:szCs w:val="16"/>
        </w:rPr>
        <w:t xml:space="preserve">.9 No processo de aplicação da multa administrativa </w:t>
      </w:r>
      <w:proofErr w:type="gramStart"/>
      <w:r w:rsidRPr="00010733">
        <w:rPr>
          <w:rFonts w:ascii="Arial" w:hAnsi="Arial" w:cs="Arial"/>
          <w:sz w:val="16"/>
          <w:szCs w:val="16"/>
        </w:rPr>
        <w:t>será</w:t>
      </w:r>
      <w:proofErr w:type="gramEnd"/>
      <w:r w:rsidRPr="00010733">
        <w:rPr>
          <w:rFonts w:ascii="Arial" w:hAnsi="Arial" w:cs="Arial"/>
          <w:sz w:val="16"/>
          <w:szCs w:val="16"/>
        </w:rPr>
        <w:t xml:space="preserve"> assegurado o direito ao contraditório e a ampla defesa, facultada a defesa prévia do interessado no respectivo processo, no prazo de 05 (cinco) dias úteis;</w:t>
      </w:r>
    </w:p>
    <w:p w:rsidR="00010733" w:rsidRPr="00010733" w:rsidRDefault="00010733" w:rsidP="00010733">
      <w:pPr>
        <w:rPr>
          <w:rFonts w:ascii="Arial" w:hAnsi="Arial" w:cs="Arial"/>
          <w:sz w:val="16"/>
          <w:szCs w:val="16"/>
        </w:rPr>
      </w:pPr>
      <w:r>
        <w:rPr>
          <w:rFonts w:ascii="Arial" w:hAnsi="Arial" w:cs="Arial"/>
          <w:sz w:val="16"/>
          <w:szCs w:val="16"/>
        </w:rPr>
        <w:t>9</w:t>
      </w:r>
      <w:r w:rsidRPr="00010733">
        <w:rPr>
          <w:rFonts w:ascii="Arial" w:hAnsi="Arial" w:cs="Arial"/>
          <w:sz w:val="16"/>
          <w:szCs w:val="16"/>
        </w:rPr>
        <w:t xml:space="preserve">.10 No prazo de 05 (cinco) dias, a contar da ciência da intimação, </w:t>
      </w:r>
      <w:proofErr w:type="gramStart"/>
      <w:r w:rsidRPr="00010733">
        <w:rPr>
          <w:rFonts w:ascii="Arial" w:hAnsi="Arial" w:cs="Arial"/>
          <w:sz w:val="16"/>
          <w:szCs w:val="16"/>
        </w:rPr>
        <w:t>caberá</w:t>
      </w:r>
      <w:proofErr w:type="gramEnd"/>
      <w:r w:rsidRPr="00010733">
        <w:rPr>
          <w:rFonts w:ascii="Arial" w:hAnsi="Arial" w:cs="Arial"/>
          <w:sz w:val="16"/>
          <w:szCs w:val="16"/>
        </w:rPr>
        <w:t xml:space="preserve"> recurso, podendo a Administração reconsiderar sua decisão ou nesse prazo encaminhá-la devidamente informada para a apreciação e decisão superior, dentro do mesmo prazo;</w:t>
      </w:r>
    </w:p>
    <w:p w:rsidR="00010733" w:rsidRPr="00010733" w:rsidRDefault="00010733" w:rsidP="00010733">
      <w:pPr>
        <w:rPr>
          <w:rFonts w:ascii="Arial" w:hAnsi="Arial" w:cs="Arial"/>
          <w:sz w:val="16"/>
          <w:szCs w:val="16"/>
        </w:rPr>
      </w:pPr>
      <w:r>
        <w:rPr>
          <w:rFonts w:ascii="Arial" w:hAnsi="Arial" w:cs="Arial"/>
          <w:sz w:val="16"/>
          <w:szCs w:val="16"/>
        </w:rPr>
        <w:t>9</w:t>
      </w:r>
      <w:r w:rsidRPr="00010733">
        <w:rPr>
          <w:rFonts w:ascii="Arial" w:hAnsi="Arial" w:cs="Arial"/>
          <w:sz w:val="16"/>
          <w:szCs w:val="16"/>
        </w:rPr>
        <w:t>.11 A sanção denominada “Advertência” só terá lugar se emitida por escrito e quando se tratar de faltas leves, assim entendidas como aquelas que não acarretarem prejuízos significativos ao objeto da contratação;</w:t>
      </w:r>
    </w:p>
    <w:p w:rsidR="00010733" w:rsidRPr="00010733" w:rsidRDefault="00010733" w:rsidP="00010733">
      <w:pPr>
        <w:rPr>
          <w:rFonts w:ascii="Arial" w:hAnsi="Arial" w:cs="Arial"/>
          <w:sz w:val="16"/>
          <w:szCs w:val="16"/>
        </w:rPr>
      </w:pPr>
      <w:r>
        <w:rPr>
          <w:rFonts w:ascii="Arial" w:hAnsi="Arial" w:cs="Arial"/>
          <w:sz w:val="16"/>
          <w:szCs w:val="16"/>
        </w:rPr>
        <w:t>9</w:t>
      </w:r>
      <w:r w:rsidRPr="00010733">
        <w:rPr>
          <w:rFonts w:ascii="Arial" w:hAnsi="Arial" w:cs="Arial"/>
          <w:sz w:val="16"/>
          <w:szCs w:val="16"/>
        </w:rPr>
        <w:t>.12 São exemplos de infração administrativa penalizáveis, nos termos da Lei nº 8.666, de 1993, da Lei nº 10.520, de 2002, do Decreto nº 3.555, de 2000, e do Decreto nº 5.450, de 2005:</w:t>
      </w:r>
    </w:p>
    <w:p w:rsidR="00010733" w:rsidRPr="00010733" w:rsidRDefault="00010733" w:rsidP="00010733">
      <w:pPr>
        <w:rPr>
          <w:rFonts w:ascii="Arial" w:hAnsi="Arial" w:cs="Arial"/>
          <w:sz w:val="16"/>
          <w:szCs w:val="16"/>
        </w:rPr>
      </w:pPr>
      <w:proofErr w:type="gramStart"/>
      <w:r w:rsidRPr="00010733">
        <w:rPr>
          <w:rFonts w:ascii="Arial" w:hAnsi="Arial" w:cs="Arial"/>
          <w:sz w:val="16"/>
          <w:szCs w:val="16"/>
        </w:rPr>
        <w:t>a</w:t>
      </w:r>
      <w:proofErr w:type="gramEnd"/>
      <w:r w:rsidRPr="00010733">
        <w:rPr>
          <w:rFonts w:ascii="Arial" w:hAnsi="Arial" w:cs="Arial"/>
          <w:sz w:val="16"/>
          <w:szCs w:val="16"/>
        </w:rPr>
        <w:t>) Inexecução total ou parcial do contrato;</w:t>
      </w:r>
    </w:p>
    <w:p w:rsidR="00010733" w:rsidRPr="00010733" w:rsidRDefault="00010733" w:rsidP="00010733">
      <w:pPr>
        <w:rPr>
          <w:rFonts w:ascii="Arial" w:hAnsi="Arial" w:cs="Arial"/>
          <w:sz w:val="16"/>
          <w:szCs w:val="16"/>
        </w:rPr>
      </w:pPr>
      <w:proofErr w:type="gramStart"/>
      <w:r w:rsidRPr="00010733">
        <w:rPr>
          <w:rFonts w:ascii="Arial" w:hAnsi="Arial" w:cs="Arial"/>
          <w:sz w:val="16"/>
          <w:szCs w:val="16"/>
        </w:rPr>
        <w:t>b)</w:t>
      </w:r>
      <w:proofErr w:type="gramEnd"/>
      <w:r w:rsidRPr="00010733">
        <w:rPr>
          <w:rFonts w:ascii="Arial" w:hAnsi="Arial" w:cs="Arial"/>
          <w:sz w:val="16"/>
          <w:szCs w:val="16"/>
        </w:rPr>
        <w:t> Apresentação de documentação falsa;</w:t>
      </w:r>
    </w:p>
    <w:p w:rsidR="00010733" w:rsidRPr="00010733" w:rsidRDefault="00010733" w:rsidP="00010733">
      <w:pPr>
        <w:rPr>
          <w:rFonts w:ascii="Arial" w:hAnsi="Arial" w:cs="Arial"/>
          <w:sz w:val="16"/>
          <w:szCs w:val="16"/>
        </w:rPr>
      </w:pPr>
      <w:proofErr w:type="gramStart"/>
      <w:r w:rsidRPr="00010733">
        <w:rPr>
          <w:rFonts w:ascii="Arial" w:hAnsi="Arial" w:cs="Arial"/>
          <w:sz w:val="16"/>
          <w:szCs w:val="16"/>
        </w:rPr>
        <w:t>c)</w:t>
      </w:r>
      <w:proofErr w:type="gramEnd"/>
      <w:r w:rsidRPr="00010733">
        <w:rPr>
          <w:rFonts w:ascii="Arial" w:hAnsi="Arial" w:cs="Arial"/>
          <w:sz w:val="16"/>
          <w:szCs w:val="16"/>
        </w:rPr>
        <w:t> Comportamento inidôneo;</w:t>
      </w:r>
    </w:p>
    <w:p w:rsidR="00010733" w:rsidRPr="00010733" w:rsidRDefault="00010733" w:rsidP="00010733">
      <w:pPr>
        <w:rPr>
          <w:rFonts w:ascii="Arial" w:hAnsi="Arial" w:cs="Arial"/>
          <w:sz w:val="16"/>
          <w:szCs w:val="16"/>
        </w:rPr>
      </w:pPr>
      <w:proofErr w:type="gramStart"/>
      <w:r w:rsidRPr="00010733">
        <w:rPr>
          <w:rFonts w:ascii="Arial" w:hAnsi="Arial" w:cs="Arial"/>
          <w:sz w:val="16"/>
          <w:szCs w:val="16"/>
        </w:rPr>
        <w:t>d)</w:t>
      </w:r>
      <w:proofErr w:type="gramEnd"/>
      <w:r w:rsidRPr="00010733">
        <w:rPr>
          <w:rFonts w:ascii="Arial" w:hAnsi="Arial" w:cs="Arial"/>
          <w:sz w:val="16"/>
          <w:szCs w:val="16"/>
        </w:rPr>
        <w:t> Fraude fiscal;</w:t>
      </w:r>
    </w:p>
    <w:p w:rsidR="00010733" w:rsidRPr="00010733" w:rsidRDefault="00010733" w:rsidP="00010733">
      <w:pPr>
        <w:rPr>
          <w:rFonts w:ascii="Arial" w:hAnsi="Arial" w:cs="Arial"/>
          <w:sz w:val="16"/>
          <w:szCs w:val="16"/>
        </w:rPr>
      </w:pPr>
      <w:proofErr w:type="gramStart"/>
      <w:r w:rsidRPr="00010733">
        <w:rPr>
          <w:rFonts w:ascii="Arial" w:hAnsi="Arial" w:cs="Arial"/>
          <w:sz w:val="16"/>
          <w:szCs w:val="16"/>
        </w:rPr>
        <w:t>e</w:t>
      </w:r>
      <w:proofErr w:type="gramEnd"/>
      <w:r w:rsidRPr="00010733">
        <w:rPr>
          <w:rFonts w:ascii="Arial" w:hAnsi="Arial" w:cs="Arial"/>
          <w:sz w:val="16"/>
          <w:szCs w:val="16"/>
        </w:rPr>
        <w:t>) Descumprimento de qualquer dos deveres elencados neste termo de referência ou no Contrato.</w:t>
      </w:r>
    </w:p>
    <w:p w:rsidR="00010733" w:rsidRPr="00010733" w:rsidRDefault="00010733" w:rsidP="00010733">
      <w:pPr>
        <w:rPr>
          <w:rFonts w:ascii="Arial" w:hAnsi="Arial" w:cs="Arial"/>
          <w:sz w:val="16"/>
          <w:szCs w:val="16"/>
        </w:rPr>
      </w:pPr>
      <w:r>
        <w:rPr>
          <w:rFonts w:ascii="Arial" w:hAnsi="Arial" w:cs="Arial"/>
          <w:sz w:val="16"/>
          <w:szCs w:val="16"/>
        </w:rPr>
        <w:t>9</w:t>
      </w:r>
      <w:r w:rsidRPr="00010733">
        <w:rPr>
          <w:rFonts w:ascii="Arial" w:hAnsi="Arial" w:cs="Arial"/>
          <w:sz w:val="16"/>
          <w:szCs w:val="16"/>
        </w:rPr>
        <w:t>.13 As sanções serão aplicadas sem prejuízo da responsabilidade civil e criminal da Contratada, conforme infração cometida e prejuízos causados à Administração ou a terceiros.</w:t>
      </w:r>
    </w:p>
    <w:p w:rsidR="00010733" w:rsidRPr="00010733" w:rsidRDefault="00010733" w:rsidP="00010733">
      <w:pPr>
        <w:rPr>
          <w:rFonts w:ascii="Arial" w:hAnsi="Arial" w:cs="Arial"/>
          <w:sz w:val="16"/>
          <w:szCs w:val="16"/>
        </w:rPr>
      </w:pPr>
      <w:r>
        <w:rPr>
          <w:rFonts w:ascii="Arial" w:hAnsi="Arial" w:cs="Arial"/>
          <w:sz w:val="16"/>
          <w:szCs w:val="16"/>
        </w:rPr>
        <w:t>9</w:t>
      </w:r>
      <w:r w:rsidRPr="00010733">
        <w:rPr>
          <w:rFonts w:ascii="Arial" w:hAnsi="Arial" w:cs="Arial"/>
          <w:sz w:val="16"/>
          <w:szCs w:val="16"/>
        </w:rPr>
        <w:t>.14 Para efeito de aplicação de multas, às infrações são atribuídos graus, com percentuais de multa conforme a tabela a seguir, que elenca apenas as principais situações previstas, não eximindo de outras equivalentes que surgirem, conforme o caso:</w:t>
      </w:r>
    </w:p>
    <w:p w:rsidR="00010733" w:rsidRPr="00010733" w:rsidRDefault="00010733" w:rsidP="00010733">
      <w:pPr>
        <w:spacing w:line="360" w:lineRule="auto"/>
        <w:rPr>
          <w:rFonts w:ascii="Arial" w:hAnsi="Arial" w:cs="Arial"/>
          <w:sz w:val="16"/>
          <w:szCs w:val="16"/>
        </w:rPr>
      </w:pPr>
    </w:p>
    <w:tbl>
      <w:tblPr>
        <w:tblW w:w="9210" w:type="dxa"/>
        <w:jc w:val="right"/>
        <w:tblInd w:w="205" w:type="dxa"/>
        <w:tblCellMar>
          <w:left w:w="0" w:type="dxa"/>
          <w:right w:w="0" w:type="dxa"/>
        </w:tblCellMar>
        <w:tblLook w:val="04A0"/>
      </w:tblPr>
      <w:tblGrid>
        <w:gridCol w:w="962"/>
        <w:gridCol w:w="5556"/>
        <w:gridCol w:w="992"/>
        <w:gridCol w:w="1700"/>
      </w:tblGrid>
      <w:tr w:rsidR="00010733" w:rsidRPr="00010733" w:rsidTr="00010733">
        <w:trPr>
          <w:jc w:val="right"/>
        </w:trPr>
        <w:tc>
          <w:tcPr>
            <w:tcW w:w="962" w:type="dxa"/>
            <w:tcBorders>
              <w:top w:val="single" w:sz="8" w:space="0" w:color="000000"/>
              <w:left w:val="single" w:sz="8" w:space="0" w:color="000000"/>
              <w:bottom w:val="nil"/>
              <w:right w:val="single" w:sz="8" w:space="0" w:color="auto"/>
            </w:tcBorders>
            <w:shd w:val="clear" w:color="auto" w:fill="000000"/>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ITEM</w:t>
            </w:r>
          </w:p>
        </w:tc>
        <w:tc>
          <w:tcPr>
            <w:tcW w:w="5559" w:type="dxa"/>
            <w:tcBorders>
              <w:top w:val="single" w:sz="8" w:space="0" w:color="000000"/>
              <w:left w:val="nil"/>
              <w:bottom w:val="nil"/>
              <w:right w:val="single" w:sz="8" w:space="0" w:color="auto"/>
            </w:tcBorders>
            <w:shd w:val="clear" w:color="auto" w:fill="000000"/>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DESCRIÇÃO DA INFRAÇÃO</w:t>
            </w:r>
          </w:p>
        </w:tc>
        <w:tc>
          <w:tcPr>
            <w:tcW w:w="992" w:type="dxa"/>
            <w:tcBorders>
              <w:top w:val="single" w:sz="8" w:space="0" w:color="000000"/>
              <w:left w:val="nil"/>
              <w:bottom w:val="nil"/>
              <w:right w:val="single" w:sz="8" w:space="0" w:color="auto"/>
            </w:tcBorders>
            <w:shd w:val="clear" w:color="auto" w:fill="000000"/>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GRAU</w:t>
            </w:r>
          </w:p>
        </w:tc>
        <w:tc>
          <w:tcPr>
            <w:tcW w:w="1701" w:type="dxa"/>
            <w:tcBorders>
              <w:top w:val="single" w:sz="8" w:space="0" w:color="000000"/>
              <w:left w:val="nil"/>
              <w:bottom w:val="nil"/>
              <w:right w:val="single" w:sz="8" w:space="0" w:color="000000"/>
            </w:tcBorders>
            <w:shd w:val="clear" w:color="auto" w:fill="000000"/>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MULTA*</w:t>
            </w:r>
          </w:p>
        </w:tc>
      </w:tr>
      <w:tr w:rsidR="00010733" w:rsidRPr="00010733" w:rsidTr="00010733">
        <w:trPr>
          <w:jc w:val="right"/>
        </w:trPr>
        <w:tc>
          <w:tcPr>
            <w:tcW w:w="962"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1.       </w:t>
            </w:r>
          </w:p>
        </w:tc>
        <w:tc>
          <w:tcPr>
            <w:tcW w:w="555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Permitir situação que crie a possibilidade ou cause dano físico, lesão corporal ou consequências letais; por ocorrência.</w:t>
            </w:r>
          </w:p>
        </w:tc>
        <w:tc>
          <w:tcPr>
            <w:tcW w:w="992"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06</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4,0% por dia</w:t>
            </w:r>
          </w:p>
        </w:tc>
      </w:tr>
      <w:tr w:rsidR="00010733" w:rsidRPr="00010733" w:rsidTr="00010733">
        <w:trPr>
          <w:trHeight w:val="600"/>
          <w:jc w:val="right"/>
        </w:trPr>
        <w:tc>
          <w:tcPr>
            <w:tcW w:w="962"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2.       </w:t>
            </w:r>
          </w:p>
        </w:tc>
        <w:tc>
          <w:tcPr>
            <w:tcW w:w="555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Usar indevidamente informações sigilosas a que teve acesso; por ocorrência.</w:t>
            </w:r>
          </w:p>
        </w:tc>
        <w:tc>
          <w:tcPr>
            <w:tcW w:w="992"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06</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4,0% por dia</w:t>
            </w:r>
          </w:p>
        </w:tc>
      </w:tr>
      <w:tr w:rsidR="00010733" w:rsidRPr="00010733" w:rsidTr="00010733">
        <w:trPr>
          <w:jc w:val="right"/>
        </w:trPr>
        <w:tc>
          <w:tcPr>
            <w:tcW w:w="962"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3.       </w:t>
            </w:r>
          </w:p>
        </w:tc>
        <w:tc>
          <w:tcPr>
            <w:tcW w:w="555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Suspender ou interromper, salvo por motivo de força maior ou caso fortuito, os serviços contratuais por dia e por unidade de atendimento;</w:t>
            </w:r>
          </w:p>
        </w:tc>
        <w:tc>
          <w:tcPr>
            <w:tcW w:w="992"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05</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3,2% por dia</w:t>
            </w:r>
          </w:p>
        </w:tc>
      </w:tr>
      <w:tr w:rsidR="00010733" w:rsidRPr="00010733" w:rsidTr="00010733">
        <w:trPr>
          <w:jc w:val="right"/>
        </w:trPr>
        <w:tc>
          <w:tcPr>
            <w:tcW w:w="962" w:type="dxa"/>
            <w:tcBorders>
              <w:top w:val="nil"/>
              <w:left w:val="single" w:sz="8" w:space="0" w:color="000000"/>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4.       </w:t>
            </w:r>
          </w:p>
        </w:tc>
        <w:tc>
          <w:tcPr>
            <w:tcW w:w="5559" w:type="dxa"/>
            <w:tcBorders>
              <w:top w:val="nil"/>
              <w:left w:val="nil"/>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Destruir ou danificar documentos por culpa ou dolo de seus agentes; por ocorrência.</w:t>
            </w:r>
          </w:p>
        </w:tc>
        <w:tc>
          <w:tcPr>
            <w:tcW w:w="992" w:type="dxa"/>
            <w:tcBorders>
              <w:top w:val="nil"/>
              <w:left w:val="nil"/>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05</w:t>
            </w:r>
          </w:p>
        </w:tc>
        <w:tc>
          <w:tcPr>
            <w:tcW w:w="1701" w:type="dxa"/>
            <w:tcBorders>
              <w:top w:val="nil"/>
              <w:left w:val="nil"/>
              <w:bottom w:val="nil"/>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3,2% por dia</w:t>
            </w:r>
          </w:p>
        </w:tc>
      </w:tr>
      <w:tr w:rsidR="00010733" w:rsidRPr="00010733" w:rsidTr="00010733">
        <w:trPr>
          <w:jc w:val="right"/>
        </w:trPr>
        <w:tc>
          <w:tcPr>
            <w:tcW w:w="962"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5.       </w:t>
            </w:r>
          </w:p>
        </w:tc>
        <w:tc>
          <w:tcPr>
            <w:tcW w:w="555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Recusar-se a executar serviço determinado pela FISCALIZAÇÃO, sem motivo justificado; por ocorrência;</w:t>
            </w:r>
          </w:p>
        </w:tc>
        <w:tc>
          <w:tcPr>
            <w:tcW w:w="992"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04</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1,6% por dia</w:t>
            </w:r>
          </w:p>
        </w:tc>
      </w:tr>
      <w:tr w:rsidR="00010733" w:rsidRPr="00010733" w:rsidTr="00010733">
        <w:trPr>
          <w:jc w:val="right"/>
        </w:trPr>
        <w:tc>
          <w:tcPr>
            <w:tcW w:w="962" w:type="dxa"/>
            <w:tcBorders>
              <w:top w:val="nil"/>
              <w:left w:val="single" w:sz="8" w:space="0" w:color="000000"/>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6.       </w:t>
            </w:r>
          </w:p>
        </w:tc>
        <w:tc>
          <w:tcPr>
            <w:tcW w:w="5559" w:type="dxa"/>
            <w:tcBorders>
              <w:top w:val="nil"/>
              <w:left w:val="nil"/>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Executar serviço incompleto, paliativo substitutivo como por caráter permanente, ou deixar de providenciar recomposição complementar; por ocorrência.</w:t>
            </w:r>
          </w:p>
        </w:tc>
        <w:tc>
          <w:tcPr>
            <w:tcW w:w="992" w:type="dxa"/>
            <w:tcBorders>
              <w:top w:val="nil"/>
              <w:left w:val="nil"/>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02</w:t>
            </w:r>
          </w:p>
        </w:tc>
        <w:tc>
          <w:tcPr>
            <w:tcW w:w="1701" w:type="dxa"/>
            <w:tcBorders>
              <w:top w:val="nil"/>
              <w:left w:val="nil"/>
              <w:bottom w:val="nil"/>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0,4% por dia</w:t>
            </w:r>
          </w:p>
        </w:tc>
      </w:tr>
      <w:tr w:rsidR="00010733" w:rsidRPr="00010733" w:rsidTr="00010733">
        <w:trPr>
          <w:jc w:val="right"/>
        </w:trPr>
        <w:tc>
          <w:tcPr>
            <w:tcW w:w="962"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7.       </w:t>
            </w:r>
          </w:p>
        </w:tc>
        <w:tc>
          <w:tcPr>
            <w:tcW w:w="555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Fornecer informação pérfida de serviço ou substituição de Cartão/ equipamento/software; por ocorrência.</w:t>
            </w:r>
          </w:p>
        </w:tc>
        <w:tc>
          <w:tcPr>
            <w:tcW w:w="992"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02</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0,4% por dia</w:t>
            </w:r>
          </w:p>
        </w:tc>
      </w:tr>
      <w:tr w:rsidR="00010733" w:rsidRPr="00010733" w:rsidTr="00010733">
        <w:trPr>
          <w:jc w:val="right"/>
        </w:trPr>
        <w:tc>
          <w:tcPr>
            <w:tcW w:w="962" w:type="dxa"/>
            <w:tcBorders>
              <w:top w:val="nil"/>
              <w:left w:val="single" w:sz="8" w:space="0" w:color="000000"/>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8.       </w:t>
            </w:r>
          </w:p>
        </w:tc>
        <w:tc>
          <w:tcPr>
            <w:tcW w:w="5559" w:type="dxa"/>
            <w:tcBorders>
              <w:top w:val="nil"/>
              <w:left w:val="nil"/>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Manter credenciamento ou descredenciamento de estabelecimento sem a anuência prévia do Gestor do Contrato, por ocorrência(s);</w:t>
            </w:r>
          </w:p>
        </w:tc>
        <w:tc>
          <w:tcPr>
            <w:tcW w:w="992" w:type="dxa"/>
            <w:tcBorders>
              <w:top w:val="nil"/>
              <w:left w:val="nil"/>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01</w:t>
            </w:r>
          </w:p>
        </w:tc>
        <w:tc>
          <w:tcPr>
            <w:tcW w:w="1701" w:type="dxa"/>
            <w:tcBorders>
              <w:top w:val="nil"/>
              <w:left w:val="nil"/>
              <w:bottom w:val="nil"/>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0,2% por dia</w:t>
            </w:r>
          </w:p>
        </w:tc>
      </w:tr>
      <w:tr w:rsidR="00010733" w:rsidRPr="00010733" w:rsidTr="00010733">
        <w:trPr>
          <w:jc w:val="right"/>
        </w:trPr>
        <w:tc>
          <w:tcPr>
            <w:tcW w:w="962"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9.       </w:t>
            </w:r>
          </w:p>
        </w:tc>
        <w:tc>
          <w:tcPr>
            <w:tcW w:w="555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Tratar de maneira diferenciada os estabelecimentos credenciados por si, dos motivados por conta própria ou encaminhados pelo Gestor do Contrato, por ocorrência(s) e por estabelecimento;</w:t>
            </w:r>
          </w:p>
        </w:tc>
        <w:tc>
          <w:tcPr>
            <w:tcW w:w="992"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01</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0,2% por dia</w:t>
            </w:r>
          </w:p>
        </w:tc>
      </w:tr>
      <w:tr w:rsidR="00010733" w:rsidRPr="00010733" w:rsidTr="00010733">
        <w:trPr>
          <w:jc w:val="right"/>
        </w:trPr>
        <w:tc>
          <w:tcPr>
            <w:tcW w:w="9214" w:type="dxa"/>
            <w:gridSpan w:val="4"/>
            <w:tcBorders>
              <w:top w:val="nil"/>
              <w:left w:val="single" w:sz="8" w:space="0" w:color="auto"/>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Para os itens a seguir, deixar de:</w:t>
            </w:r>
          </w:p>
        </w:tc>
      </w:tr>
      <w:tr w:rsidR="00010733" w:rsidRPr="00010733" w:rsidTr="00010733">
        <w:trPr>
          <w:jc w:val="right"/>
        </w:trPr>
        <w:tc>
          <w:tcPr>
            <w:tcW w:w="962"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10.   </w:t>
            </w:r>
          </w:p>
        </w:tc>
        <w:tc>
          <w:tcPr>
            <w:tcW w:w="555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Efetuar o pagamento da rede credenciada no prazo estipulado; por dia e por ocorrência.</w:t>
            </w:r>
          </w:p>
        </w:tc>
        <w:tc>
          <w:tcPr>
            <w:tcW w:w="992"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06</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4,0% por dia</w:t>
            </w:r>
          </w:p>
        </w:tc>
      </w:tr>
      <w:tr w:rsidR="00010733" w:rsidRPr="00010733" w:rsidTr="00010733">
        <w:trPr>
          <w:jc w:val="right"/>
        </w:trPr>
        <w:tc>
          <w:tcPr>
            <w:tcW w:w="962" w:type="dxa"/>
            <w:tcBorders>
              <w:top w:val="nil"/>
              <w:left w:val="single" w:sz="8" w:space="0" w:color="000000"/>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lastRenderedPageBreak/>
              <w:t>11.   </w:t>
            </w:r>
          </w:p>
        </w:tc>
        <w:tc>
          <w:tcPr>
            <w:tcW w:w="5559" w:type="dxa"/>
            <w:tcBorders>
              <w:top w:val="nil"/>
              <w:left w:val="nil"/>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92" w:type="dxa"/>
            <w:tcBorders>
              <w:top w:val="nil"/>
              <w:left w:val="nil"/>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05</w:t>
            </w:r>
          </w:p>
        </w:tc>
        <w:tc>
          <w:tcPr>
            <w:tcW w:w="1701" w:type="dxa"/>
            <w:tcBorders>
              <w:top w:val="nil"/>
              <w:left w:val="nil"/>
              <w:bottom w:val="nil"/>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3,2% por dia</w:t>
            </w:r>
          </w:p>
        </w:tc>
      </w:tr>
      <w:tr w:rsidR="00010733" w:rsidRPr="00010733" w:rsidTr="00010733">
        <w:trPr>
          <w:jc w:val="right"/>
        </w:trPr>
        <w:tc>
          <w:tcPr>
            <w:tcW w:w="962"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12.   </w:t>
            </w:r>
          </w:p>
        </w:tc>
        <w:tc>
          <w:tcPr>
            <w:tcW w:w="555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Efetuar a restauração do sistema e reposição de equipamentos danificados, por motivo e por dia;</w:t>
            </w:r>
          </w:p>
        </w:tc>
        <w:tc>
          <w:tcPr>
            <w:tcW w:w="992"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04</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1,6% por dia</w:t>
            </w:r>
          </w:p>
        </w:tc>
      </w:tr>
      <w:tr w:rsidR="00010733" w:rsidRPr="00010733" w:rsidTr="00010733">
        <w:trPr>
          <w:jc w:val="right"/>
        </w:trPr>
        <w:tc>
          <w:tcPr>
            <w:tcW w:w="962" w:type="dxa"/>
            <w:tcBorders>
              <w:top w:val="nil"/>
              <w:left w:val="single" w:sz="8" w:space="0" w:color="000000"/>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13.   </w:t>
            </w:r>
          </w:p>
        </w:tc>
        <w:tc>
          <w:tcPr>
            <w:tcW w:w="5559" w:type="dxa"/>
            <w:tcBorders>
              <w:top w:val="nil"/>
              <w:left w:val="nil"/>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92" w:type="dxa"/>
            <w:tcBorders>
              <w:top w:val="nil"/>
              <w:left w:val="nil"/>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03</w:t>
            </w:r>
          </w:p>
        </w:tc>
        <w:tc>
          <w:tcPr>
            <w:tcW w:w="1701" w:type="dxa"/>
            <w:tcBorders>
              <w:top w:val="nil"/>
              <w:left w:val="nil"/>
              <w:bottom w:val="nil"/>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0,8% por dia</w:t>
            </w:r>
          </w:p>
        </w:tc>
      </w:tr>
      <w:tr w:rsidR="00010733" w:rsidRPr="00010733" w:rsidTr="00010733">
        <w:trPr>
          <w:trHeight w:val="797"/>
          <w:jc w:val="right"/>
        </w:trPr>
        <w:tc>
          <w:tcPr>
            <w:tcW w:w="962"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14.   </w:t>
            </w:r>
          </w:p>
        </w:tc>
        <w:tc>
          <w:tcPr>
            <w:tcW w:w="555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Cumprir determinação formal ou instrução complementar da</w:t>
            </w:r>
          </w:p>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FISCALIZAÇÃO, por ocorrência;</w:t>
            </w:r>
          </w:p>
        </w:tc>
        <w:tc>
          <w:tcPr>
            <w:tcW w:w="992"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03</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0,8% por dia</w:t>
            </w:r>
          </w:p>
        </w:tc>
      </w:tr>
      <w:tr w:rsidR="00010733" w:rsidRPr="00010733" w:rsidTr="00010733">
        <w:trPr>
          <w:jc w:val="right"/>
        </w:trPr>
        <w:tc>
          <w:tcPr>
            <w:tcW w:w="962" w:type="dxa"/>
            <w:tcBorders>
              <w:top w:val="nil"/>
              <w:left w:val="single" w:sz="8" w:space="0" w:color="000000"/>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15.   </w:t>
            </w:r>
          </w:p>
        </w:tc>
        <w:tc>
          <w:tcPr>
            <w:tcW w:w="5559" w:type="dxa"/>
            <w:tcBorders>
              <w:top w:val="nil"/>
              <w:left w:val="nil"/>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Iniciar execução de serviço nos prazos estabelecidos, observados os limites mínimos estabelecidos por este Contrato; por serviço, por ocorrência.</w:t>
            </w:r>
          </w:p>
        </w:tc>
        <w:tc>
          <w:tcPr>
            <w:tcW w:w="992" w:type="dxa"/>
            <w:tcBorders>
              <w:top w:val="nil"/>
              <w:left w:val="nil"/>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02</w:t>
            </w:r>
          </w:p>
        </w:tc>
        <w:tc>
          <w:tcPr>
            <w:tcW w:w="1701" w:type="dxa"/>
            <w:tcBorders>
              <w:top w:val="nil"/>
              <w:left w:val="nil"/>
              <w:bottom w:val="nil"/>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0,4% por dia</w:t>
            </w:r>
          </w:p>
        </w:tc>
      </w:tr>
      <w:tr w:rsidR="00010733" w:rsidRPr="00010733" w:rsidTr="00010733">
        <w:trPr>
          <w:jc w:val="right"/>
        </w:trPr>
        <w:tc>
          <w:tcPr>
            <w:tcW w:w="962"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16.   </w:t>
            </w:r>
          </w:p>
        </w:tc>
        <w:tc>
          <w:tcPr>
            <w:tcW w:w="555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Disponibilizar os equipamentos, sistema, estabelecimentos credenciados, em numero mínimo, treinamento, suporte e demais necessários à realização dos serviços do escopo do contrato; por ocorrência.</w:t>
            </w:r>
          </w:p>
        </w:tc>
        <w:tc>
          <w:tcPr>
            <w:tcW w:w="992"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02</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04% por dia</w:t>
            </w:r>
          </w:p>
        </w:tc>
      </w:tr>
      <w:tr w:rsidR="00010733" w:rsidRPr="00010733" w:rsidTr="00010733">
        <w:trPr>
          <w:jc w:val="right"/>
        </w:trPr>
        <w:tc>
          <w:tcPr>
            <w:tcW w:w="962" w:type="dxa"/>
            <w:tcBorders>
              <w:top w:val="nil"/>
              <w:left w:val="single" w:sz="8" w:space="0" w:color="000000"/>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17.   </w:t>
            </w:r>
          </w:p>
        </w:tc>
        <w:tc>
          <w:tcPr>
            <w:tcW w:w="5559" w:type="dxa"/>
            <w:tcBorders>
              <w:top w:val="nil"/>
              <w:left w:val="nil"/>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Ressarcir o órgão por eventuais danos causados por sua culpa, em veículos, equipamentos, dados, etc.</w:t>
            </w:r>
          </w:p>
        </w:tc>
        <w:tc>
          <w:tcPr>
            <w:tcW w:w="992" w:type="dxa"/>
            <w:tcBorders>
              <w:top w:val="nil"/>
              <w:left w:val="nil"/>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02</w:t>
            </w:r>
          </w:p>
        </w:tc>
        <w:tc>
          <w:tcPr>
            <w:tcW w:w="1701" w:type="dxa"/>
            <w:tcBorders>
              <w:top w:val="nil"/>
              <w:left w:val="nil"/>
              <w:bottom w:val="nil"/>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0,4% por dia</w:t>
            </w:r>
          </w:p>
        </w:tc>
      </w:tr>
      <w:tr w:rsidR="00010733" w:rsidRPr="00010733" w:rsidTr="00010733">
        <w:trPr>
          <w:jc w:val="right"/>
        </w:trPr>
        <w:tc>
          <w:tcPr>
            <w:tcW w:w="962"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18.   </w:t>
            </w:r>
          </w:p>
        </w:tc>
        <w:tc>
          <w:tcPr>
            <w:tcW w:w="555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Fornecer as senhas e relatórios exigidos para o objeto, por tipo e por ocorrência;</w:t>
            </w:r>
          </w:p>
        </w:tc>
        <w:tc>
          <w:tcPr>
            <w:tcW w:w="992"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02</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0,4% por dia</w:t>
            </w:r>
          </w:p>
        </w:tc>
      </w:tr>
      <w:tr w:rsidR="00010733" w:rsidRPr="00010733" w:rsidTr="00010733">
        <w:trPr>
          <w:jc w:val="right"/>
        </w:trPr>
        <w:tc>
          <w:tcPr>
            <w:tcW w:w="962" w:type="dxa"/>
            <w:tcBorders>
              <w:top w:val="nil"/>
              <w:left w:val="single" w:sz="8" w:space="0" w:color="000000"/>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19.   </w:t>
            </w:r>
          </w:p>
        </w:tc>
        <w:tc>
          <w:tcPr>
            <w:tcW w:w="5559" w:type="dxa"/>
            <w:tcBorders>
              <w:top w:val="nil"/>
              <w:left w:val="nil"/>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Fiscalizar e controlar, diariamente, a atuação da rede credenciada, por estabelecimento e por dia;</w:t>
            </w:r>
          </w:p>
        </w:tc>
        <w:tc>
          <w:tcPr>
            <w:tcW w:w="992" w:type="dxa"/>
            <w:tcBorders>
              <w:top w:val="nil"/>
              <w:left w:val="nil"/>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01</w:t>
            </w:r>
          </w:p>
        </w:tc>
        <w:tc>
          <w:tcPr>
            <w:tcW w:w="1701" w:type="dxa"/>
            <w:tcBorders>
              <w:top w:val="nil"/>
              <w:left w:val="nil"/>
              <w:bottom w:val="nil"/>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0,2% por dia</w:t>
            </w:r>
          </w:p>
        </w:tc>
      </w:tr>
      <w:tr w:rsidR="00010733" w:rsidRPr="00010733" w:rsidTr="00010733">
        <w:trPr>
          <w:jc w:val="right"/>
        </w:trPr>
        <w:tc>
          <w:tcPr>
            <w:tcW w:w="962"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20.   </w:t>
            </w:r>
          </w:p>
        </w:tc>
        <w:tc>
          <w:tcPr>
            <w:tcW w:w="555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Credenciar estabelecimento por proposta própria ou encaminhada pelo Gestor do Contrato, por ocorrência e por dia;</w:t>
            </w:r>
          </w:p>
        </w:tc>
        <w:tc>
          <w:tcPr>
            <w:tcW w:w="992"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01</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0,2% por dia</w:t>
            </w:r>
          </w:p>
        </w:tc>
      </w:tr>
      <w:tr w:rsidR="00010733" w:rsidRPr="00010733" w:rsidTr="00010733">
        <w:trPr>
          <w:trHeight w:val="219"/>
          <w:jc w:val="right"/>
        </w:trPr>
        <w:tc>
          <w:tcPr>
            <w:tcW w:w="962" w:type="dxa"/>
            <w:tcBorders>
              <w:top w:val="nil"/>
              <w:left w:val="single" w:sz="8" w:space="0" w:color="000000"/>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21.   </w:t>
            </w:r>
          </w:p>
        </w:tc>
        <w:tc>
          <w:tcPr>
            <w:tcW w:w="5559" w:type="dxa"/>
            <w:tcBorders>
              <w:top w:val="nil"/>
              <w:left w:val="nil"/>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Manter a documentação de habilitação atualizada; por item, por ocorrência.</w:t>
            </w:r>
          </w:p>
        </w:tc>
        <w:tc>
          <w:tcPr>
            <w:tcW w:w="992" w:type="dxa"/>
            <w:tcBorders>
              <w:top w:val="nil"/>
              <w:left w:val="nil"/>
              <w:bottom w:val="nil"/>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01</w:t>
            </w:r>
          </w:p>
        </w:tc>
        <w:tc>
          <w:tcPr>
            <w:tcW w:w="1701" w:type="dxa"/>
            <w:tcBorders>
              <w:top w:val="nil"/>
              <w:left w:val="nil"/>
              <w:bottom w:val="nil"/>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0,2% por dia</w:t>
            </w:r>
          </w:p>
        </w:tc>
      </w:tr>
      <w:tr w:rsidR="00010733" w:rsidRPr="00010733" w:rsidTr="00010733">
        <w:trPr>
          <w:jc w:val="right"/>
        </w:trPr>
        <w:tc>
          <w:tcPr>
            <w:tcW w:w="962"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22.   </w:t>
            </w:r>
          </w:p>
        </w:tc>
        <w:tc>
          <w:tcPr>
            <w:tcW w:w="555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Substituir funcionário que se conduza de modo inconveniente ou não atenda às necessidades do Órgão, por funcionário e por dia;</w:t>
            </w:r>
          </w:p>
        </w:tc>
        <w:tc>
          <w:tcPr>
            <w:tcW w:w="992"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01</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0,2% por dia</w:t>
            </w:r>
          </w:p>
        </w:tc>
      </w:tr>
      <w:tr w:rsidR="00010733" w:rsidRPr="00010733" w:rsidTr="00010733">
        <w:trPr>
          <w:jc w:val="right"/>
        </w:trPr>
        <w:tc>
          <w:tcPr>
            <w:tcW w:w="962" w:type="dxa"/>
            <w:tcBorders>
              <w:top w:val="nil"/>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23.   </w:t>
            </w:r>
          </w:p>
        </w:tc>
        <w:tc>
          <w:tcPr>
            <w:tcW w:w="5559" w:type="dxa"/>
            <w:tcBorders>
              <w:top w:val="nil"/>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Fornecer suporte técnico à Contratante e à rede credenciada, por ocorrência e por dia.</w:t>
            </w:r>
          </w:p>
        </w:tc>
        <w:tc>
          <w:tcPr>
            <w:tcW w:w="992" w:type="dxa"/>
            <w:tcBorders>
              <w:top w:val="nil"/>
              <w:left w:val="nil"/>
              <w:bottom w:val="single" w:sz="8" w:space="0" w:color="000000"/>
              <w:right w:val="single" w:sz="8" w:space="0" w:color="auto"/>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01</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0,2% por dia</w:t>
            </w:r>
          </w:p>
        </w:tc>
      </w:tr>
    </w:tbl>
    <w:p w:rsidR="00010733" w:rsidRPr="00010733" w:rsidRDefault="00010733" w:rsidP="00010733">
      <w:pPr>
        <w:spacing w:line="360" w:lineRule="auto"/>
        <w:rPr>
          <w:rFonts w:ascii="Arial" w:hAnsi="Arial" w:cs="Arial"/>
          <w:sz w:val="16"/>
          <w:szCs w:val="16"/>
        </w:rPr>
      </w:pPr>
      <w:r w:rsidRPr="00010733">
        <w:rPr>
          <w:rFonts w:ascii="Arial" w:hAnsi="Arial" w:cs="Arial"/>
          <w:sz w:val="16"/>
          <w:szCs w:val="16"/>
        </w:rPr>
        <w:t>* Incidente sobre o valor mensal da parcela inadimplida.</w:t>
      </w:r>
    </w:p>
    <w:p w:rsidR="00010733" w:rsidRPr="00010733" w:rsidRDefault="00010733" w:rsidP="00010733">
      <w:pPr>
        <w:rPr>
          <w:rFonts w:ascii="Arial" w:hAnsi="Arial" w:cs="Arial"/>
          <w:sz w:val="16"/>
          <w:szCs w:val="16"/>
        </w:rPr>
      </w:pPr>
      <w:r>
        <w:rPr>
          <w:rFonts w:ascii="Arial" w:hAnsi="Arial" w:cs="Arial"/>
          <w:sz w:val="16"/>
          <w:szCs w:val="16"/>
        </w:rPr>
        <w:t>9</w:t>
      </w:r>
      <w:r w:rsidRPr="00010733">
        <w:rPr>
          <w:rFonts w:ascii="Arial" w:hAnsi="Arial" w:cs="Arial"/>
          <w:sz w:val="16"/>
          <w:szCs w:val="16"/>
        </w:rPr>
        <w:t>.15 As sanções aqui previstas poderão ser aplicadas cumulativamente;</w:t>
      </w:r>
    </w:p>
    <w:p w:rsidR="00010733" w:rsidRPr="00010733" w:rsidRDefault="00010733" w:rsidP="00010733">
      <w:pPr>
        <w:rPr>
          <w:rFonts w:ascii="Arial" w:hAnsi="Arial" w:cs="Arial"/>
          <w:sz w:val="16"/>
          <w:szCs w:val="16"/>
        </w:rPr>
      </w:pPr>
      <w:r>
        <w:rPr>
          <w:rFonts w:ascii="Arial" w:hAnsi="Arial" w:cs="Arial"/>
          <w:sz w:val="16"/>
          <w:szCs w:val="16"/>
        </w:rPr>
        <w:t>9</w:t>
      </w:r>
      <w:r w:rsidRPr="00010733">
        <w:rPr>
          <w:rFonts w:ascii="Arial" w:hAnsi="Arial" w:cs="Arial"/>
          <w:sz w:val="16"/>
          <w:szCs w:val="16"/>
        </w:rPr>
        <w:t>.16 Após 30 (trinta) dias da falta de execução do objeto, será considerada inexecução total do contrato, o que ensejará a rescisão contratual;</w:t>
      </w:r>
    </w:p>
    <w:p w:rsidR="00010733" w:rsidRPr="00010733" w:rsidRDefault="00010733" w:rsidP="00010733">
      <w:pPr>
        <w:rPr>
          <w:rFonts w:ascii="Arial" w:hAnsi="Arial" w:cs="Arial"/>
          <w:sz w:val="16"/>
          <w:szCs w:val="16"/>
        </w:rPr>
      </w:pPr>
      <w:r>
        <w:rPr>
          <w:rFonts w:ascii="Arial" w:hAnsi="Arial" w:cs="Arial"/>
          <w:sz w:val="16"/>
          <w:szCs w:val="16"/>
        </w:rPr>
        <w:t>9</w:t>
      </w:r>
      <w:r w:rsidRPr="00010733">
        <w:rPr>
          <w:rFonts w:ascii="Arial" w:hAnsi="Arial" w:cs="Arial"/>
          <w:sz w:val="16"/>
          <w:szCs w:val="16"/>
        </w:rPr>
        <w:t>.17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10733" w:rsidRPr="00010733" w:rsidRDefault="00010733" w:rsidP="00010733">
      <w:pPr>
        <w:rPr>
          <w:rFonts w:ascii="Arial" w:hAnsi="Arial" w:cs="Arial"/>
          <w:sz w:val="16"/>
          <w:szCs w:val="16"/>
        </w:rPr>
      </w:pPr>
      <w:r>
        <w:rPr>
          <w:rFonts w:ascii="Arial" w:hAnsi="Arial" w:cs="Arial"/>
          <w:sz w:val="16"/>
          <w:szCs w:val="16"/>
        </w:rPr>
        <w:t>9</w:t>
      </w:r>
      <w:r w:rsidRPr="00010733">
        <w:rPr>
          <w:rFonts w:ascii="Arial" w:hAnsi="Arial" w:cs="Arial"/>
          <w:sz w:val="16"/>
          <w:szCs w:val="16"/>
        </w:rPr>
        <w:t>.18 A autoridade competente, na aplicação das sanções, levará em consideração a gravidade da conduta do infrator, o caráter educativo da pena, bem como o dano causado à Administração, observado o princípio da proporcionalidade.</w:t>
      </w:r>
    </w:p>
    <w:p w:rsidR="00010733" w:rsidRPr="00010733" w:rsidRDefault="00010733" w:rsidP="00010733">
      <w:pPr>
        <w:rPr>
          <w:rFonts w:ascii="Arial" w:hAnsi="Arial" w:cs="Arial"/>
          <w:sz w:val="16"/>
          <w:szCs w:val="16"/>
        </w:rPr>
      </w:pPr>
      <w:r>
        <w:rPr>
          <w:rFonts w:ascii="Arial" w:hAnsi="Arial" w:cs="Arial"/>
          <w:sz w:val="16"/>
          <w:szCs w:val="16"/>
        </w:rPr>
        <w:t>9</w:t>
      </w:r>
      <w:r w:rsidRPr="00010733">
        <w:rPr>
          <w:rFonts w:ascii="Arial" w:hAnsi="Arial" w:cs="Arial"/>
          <w:sz w:val="16"/>
          <w:szCs w:val="16"/>
        </w:rPr>
        <w:t>.19 A sanção será obrigatoriamente registrada no Sistema de Cadastro de Fornecedores – SICAF, bem como em sistemas Estaduais;</w:t>
      </w:r>
    </w:p>
    <w:p w:rsidR="00010733" w:rsidRPr="00010733" w:rsidRDefault="00010733" w:rsidP="00010733">
      <w:pPr>
        <w:rPr>
          <w:rFonts w:ascii="Arial" w:hAnsi="Arial" w:cs="Arial"/>
          <w:sz w:val="16"/>
          <w:szCs w:val="16"/>
        </w:rPr>
      </w:pPr>
      <w:r>
        <w:rPr>
          <w:rFonts w:ascii="Arial" w:hAnsi="Arial" w:cs="Arial"/>
          <w:sz w:val="16"/>
          <w:szCs w:val="16"/>
        </w:rPr>
        <w:t>9</w:t>
      </w:r>
      <w:r w:rsidRPr="00010733">
        <w:rPr>
          <w:rFonts w:ascii="Arial" w:hAnsi="Arial" w:cs="Arial"/>
          <w:sz w:val="16"/>
          <w:szCs w:val="16"/>
        </w:rPr>
        <w:t>.20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10733" w:rsidRPr="00010733" w:rsidRDefault="00010733" w:rsidP="00010733">
      <w:pPr>
        <w:rPr>
          <w:rFonts w:ascii="Arial" w:hAnsi="Arial" w:cs="Arial"/>
          <w:sz w:val="16"/>
          <w:szCs w:val="16"/>
        </w:rPr>
      </w:pPr>
      <w:proofErr w:type="gramStart"/>
      <w:r w:rsidRPr="00010733">
        <w:rPr>
          <w:rFonts w:ascii="Arial" w:hAnsi="Arial" w:cs="Arial"/>
          <w:sz w:val="16"/>
          <w:szCs w:val="16"/>
        </w:rPr>
        <w:t>a</w:t>
      </w:r>
      <w:proofErr w:type="gramEnd"/>
      <w:r w:rsidRPr="00010733">
        <w:rPr>
          <w:rFonts w:ascii="Arial" w:hAnsi="Arial" w:cs="Arial"/>
          <w:sz w:val="16"/>
          <w:szCs w:val="16"/>
        </w:rPr>
        <w:t>) Tenham sofrido condenações definitivas por praticarem, por meio dolosos, fraude fiscal no recolhimento de tributos;</w:t>
      </w:r>
    </w:p>
    <w:p w:rsidR="00010733" w:rsidRPr="00010733" w:rsidRDefault="00010733" w:rsidP="00010733">
      <w:pPr>
        <w:rPr>
          <w:rFonts w:ascii="Arial" w:hAnsi="Arial" w:cs="Arial"/>
          <w:sz w:val="16"/>
          <w:szCs w:val="16"/>
        </w:rPr>
      </w:pPr>
      <w:proofErr w:type="gramStart"/>
      <w:r w:rsidRPr="00010733">
        <w:rPr>
          <w:rFonts w:ascii="Arial" w:hAnsi="Arial" w:cs="Arial"/>
          <w:sz w:val="16"/>
          <w:szCs w:val="16"/>
        </w:rPr>
        <w:t>b)</w:t>
      </w:r>
      <w:proofErr w:type="gramEnd"/>
      <w:r w:rsidRPr="00010733">
        <w:rPr>
          <w:rFonts w:ascii="Arial" w:hAnsi="Arial" w:cs="Arial"/>
          <w:sz w:val="16"/>
          <w:szCs w:val="16"/>
        </w:rPr>
        <w:t> Tenham praticado atos ilícitos visando a frustrar os objetivos da licitação;</w:t>
      </w:r>
    </w:p>
    <w:p w:rsidR="00010733" w:rsidRPr="00010733" w:rsidRDefault="00010733" w:rsidP="00010733">
      <w:pPr>
        <w:rPr>
          <w:rFonts w:ascii="Arial" w:hAnsi="Arial" w:cs="Arial"/>
          <w:sz w:val="16"/>
          <w:szCs w:val="16"/>
        </w:rPr>
      </w:pPr>
      <w:proofErr w:type="gramStart"/>
      <w:r w:rsidRPr="00010733">
        <w:rPr>
          <w:rFonts w:ascii="Arial" w:hAnsi="Arial" w:cs="Arial"/>
          <w:sz w:val="16"/>
          <w:szCs w:val="16"/>
        </w:rPr>
        <w:t>c)</w:t>
      </w:r>
      <w:proofErr w:type="gramEnd"/>
      <w:r w:rsidRPr="00010733">
        <w:rPr>
          <w:rFonts w:ascii="Arial" w:hAnsi="Arial" w:cs="Arial"/>
          <w:sz w:val="16"/>
          <w:szCs w:val="16"/>
        </w:rPr>
        <w:t> Demonstrem não possuir idoneidade para contratar com a Administração em virtude de atos ilícitos praticados.</w:t>
      </w:r>
    </w:p>
    <w:p w:rsidR="00010733" w:rsidRPr="00010733" w:rsidRDefault="00010733" w:rsidP="002069DE">
      <w:pPr>
        <w:pStyle w:val="Lista2"/>
        <w:ind w:left="360" w:firstLine="0"/>
        <w:jc w:val="both"/>
        <w:rPr>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D7A32" w:rsidRDefault="002069DE" w:rsidP="001D7CAD">
      <w:pPr>
        <w:ind w:right="47"/>
        <w:rPr>
          <w:rFonts w:ascii="Arial" w:hAnsi="Arial" w:cs="Arial"/>
          <w:b/>
          <w:bCs/>
          <w:color w:val="000000"/>
          <w:sz w:val="16"/>
          <w:szCs w:val="16"/>
        </w:rPr>
      </w:pPr>
      <w:r>
        <w:rPr>
          <w:rFonts w:ascii="Arial" w:hAnsi="Arial" w:cs="Arial"/>
          <w:b/>
          <w:bCs/>
          <w:color w:val="000000"/>
          <w:sz w:val="16"/>
          <w:szCs w:val="16"/>
        </w:rPr>
        <w:t xml:space="preserve">      </w:t>
      </w:r>
      <w:r w:rsidR="001D7A32">
        <w:rPr>
          <w:rFonts w:ascii="Arial" w:hAnsi="Arial" w:cs="Arial"/>
          <w:b/>
          <w:bCs/>
          <w:color w:val="000000"/>
          <w:sz w:val="16"/>
          <w:szCs w:val="16"/>
        </w:rPr>
        <w:t>MÁRCIO ROGÉRIO GABRIEL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Pr>
          <w:rFonts w:ascii="Arial" w:hAnsi="Arial" w:cs="Arial"/>
          <w:b/>
          <w:bCs/>
          <w:color w:val="000000"/>
          <w:sz w:val="16"/>
          <w:szCs w:val="16"/>
        </w:rPr>
        <w:t xml:space="preserve">               </w:t>
      </w:r>
      <w:bookmarkStart w:id="1" w:name="_GoBack"/>
      <w:bookmarkEnd w:id="1"/>
      <w:r w:rsidR="001D7A32">
        <w:rPr>
          <w:rFonts w:ascii="Arial" w:hAnsi="Arial" w:cs="Arial"/>
          <w:b/>
          <w:bCs/>
          <w:color w:val="000000"/>
          <w:sz w:val="16"/>
          <w:szCs w:val="16"/>
        </w:rPr>
        <w:t xml:space="preserve">         SUELEN TORRES DA SILVA</w:t>
      </w:r>
    </w:p>
    <w:p w:rsidR="004C43D9" w:rsidRPr="001D7A32" w:rsidRDefault="001D7A32" w:rsidP="001D7CAD">
      <w:pPr>
        <w:ind w:right="47"/>
        <w:rPr>
          <w:rFonts w:ascii="Arial" w:hAnsi="Arial" w:cs="Arial"/>
          <w:b/>
          <w:bCs/>
          <w:color w:val="000000"/>
          <w:sz w:val="16"/>
          <w:szCs w:val="16"/>
        </w:rPr>
      </w:pPr>
      <w:r>
        <w:rPr>
          <w:rFonts w:ascii="Arial" w:hAnsi="Arial" w:cs="Arial"/>
          <w:bCs/>
          <w:color w:val="000000"/>
          <w:sz w:val="16"/>
          <w:szCs w:val="16"/>
        </w:rPr>
        <w:t xml:space="preserve">Superintendente Estadual de Licitações </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Pr>
          <w:rFonts w:ascii="Arial" w:hAnsi="Arial" w:cs="Arial"/>
          <w:bCs/>
          <w:color w:val="000000"/>
          <w:sz w:val="16"/>
          <w:szCs w:val="16"/>
        </w:rPr>
        <w:t>Coordenadora do Sistema de Registro de Preços Interina</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1D7A32" w:rsidP="00526790">
      <w:pPr>
        <w:ind w:right="47"/>
        <w:jc w:val="both"/>
        <w:rPr>
          <w:rFonts w:ascii="Arial" w:hAnsi="Arial" w:cs="Arial"/>
          <w:b/>
          <w:bCs/>
          <w:color w:val="000000"/>
          <w:sz w:val="10"/>
          <w:szCs w:val="10"/>
        </w:rPr>
      </w:pPr>
      <w:r>
        <w:rPr>
          <w:rFonts w:ascii="Arial" w:hAnsi="Arial" w:cs="Arial"/>
          <w:b/>
          <w:bCs/>
          <w:color w:val="000000"/>
          <w:sz w:val="10"/>
          <w:szCs w:val="10"/>
        </w:rPr>
        <w:t>FRB</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A32" w:rsidRDefault="001D7A32">
      <w:r>
        <w:separator/>
      </w:r>
    </w:p>
  </w:endnote>
  <w:endnote w:type="continuationSeparator" w:id="0">
    <w:p w:rsidR="001D7A32" w:rsidRDefault="001D7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A32" w:rsidRDefault="001D7A32">
      <w:r>
        <w:separator/>
      </w:r>
    </w:p>
  </w:footnote>
  <w:footnote w:type="continuationSeparator" w:id="0">
    <w:p w:rsidR="001D7A32" w:rsidRDefault="001D7A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A32" w:rsidRDefault="001D7A3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0733"/>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15E2"/>
    <w:rsid w:val="001D515A"/>
    <w:rsid w:val="001D6628"/>
    <w:rsid w:val="001D737C"/>
    <w:rsid w:val="001D7A32"/>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4991"/>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641"/>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31B4"/>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2D48"/>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4543"/>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D29875-1C4C-4EB6-831C-4D8A495A1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3525</Words>
  <Characters>19670</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99969963520</cp:lastModifiedBy>
  <cp:revision>4</cp:revision>
  <cp:lastPrinted>2018-02-09T15:22:00Z</cp:lastPrinted>
  <dcterms:created xsi:type="dcterms:W3CDTF">2018-02-09T14:50:00Z</dcterms:created>
  <dcterms:modified xsi:type="dcterms:W3CDTF">2018-02-09T16:03:00Z</dcterms:modified>
</cp:coreProperties>
</file>