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C4FB1">
        <w:rPr>
          <w:rFonts w:ascii="Arial" w:hAnsi="Arial" w:cs="Arial"/>
          <w:b/>
          <w:sz w:val="16"/>
          <w:szCs w:val="16"/>
        </w:rPr>
        <w:t>27</w:t>
      </w:r>
      <w:r w:rsidR="00CF6980">
        <w:rPr>
          <w:rFonts w:ascii="Arial" w:hAnsi="Arial" w:cs="Arial"/>
          <w:b/>
          <w:sz w:val="16"/>
          <w:szCs w:val="16"/>
        </w:rPr>
        <w:t>/</w:t>
      </w:r>
      <w:r w:rsidR="00300900">
        <w:rPr>
          <w:rFonts w:ascii="Arial" w:hAnsi="Arial" w:cs="Arial"/>
          <w:b/>
          <w:sz w:val="16"/>
          <w:szCs w:val="16"/>
        </w:rPr>
        <w:t>201</w:t>
      </w:r>
      <w:r w:rsidR="00AC4FB1">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AC4FB1">
        <w:rPr>
          <w:rFonts w:ascii="Arial" w:hAnsi="Arial" w:cs="Arial"/>
          <w:b/>
          <w:bCs/>
          <w:sz w:val="16"/>
          <w:szCs w:val="16"/>
        </w:rPr>
        <w:t>438</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1557F3">
        <w:rPr>
          <w:rFonts w:ascii="Arial" w:hAnsi="Arial" w:cs="Arial"/>
          <w:b/>
          <w:bCs/>
          <w:sz w:val="16"/>
          <w:szCs w:val="16"/>
        </w:rPr>
        <w:t>01-14</w:t>
      </w:r>
      <w:r w:rsidR="008F79C3">
        <w:rPr>
          <w:rFonts w:ascii="Arial" w:hAnsi="Arial" w:cs="Arial"/>
          <w:b/>
          <w:bCs/>
          <w:sz w:val="16"/>
          <w:szCs w:val="16"/>
        </w:rPr>
        <w:t>01.</w:t>
      </w:r>
      <w:r w:rsidR="001557F3">
        <w:rPr>
          <w:rFonts w:ascii="Arial" w:hAnsi="Arial" w:cs="Arial"/>
          <w:b/>
          <w:bCs/>
          <w:sz w:val="16"/>
          <w:szCs w:val="16"/>
        </w:rPr>
        <w:t>00</w:t>
      </w:r>
      <w:r w:rsidR="00AC4FB1">
        <w:rPr>
          <w:rFonts w:ascii="Arial" w:hAnsi="Arial" w:cs="Arial"/>
          <w:b/>
          <w:bCs/>
          <w:sz w:val="16"/>
          <w:szCs w:val="16"/>
        </w:rPr>
        <w:t>360</w:t>
      </w:r>
      <w:r w:rsidR="008F79C3">
        <w:rPr>
          <w:rFonts w:ascii="Arial" w:hAnsi="Arial" w:cs="Arial"/>
          <w:b/>
          <w:bCs/>
          <w:sz w:val="16"/>
          <w:szCs w:val="16"/>
        </w:rPr>
        <w:t>-00/2017</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9C1D2A" w:rsidRPr="00F46492">
        <w:rPr>
          <w:rFonts w:ascii="Arial" w:hAnsi="Arial" w:cs="Arial"/>
          <w:color w:val="000000" w:themeColor="text1"/>
          <w:sz w:val="16"/>
          <w:szCs w:val="16"/>
        </w:rPr>
        <w:t>futura e eventual</w:t>
      </w:r>
      <w:r w:rsidR="009C1D2A" w:rsidRPr="00E014BB">
        <w:rPr>
          <w:sz w:val="22"/>
          <w:szCs w:val="22"/>
        </w:rPr>
        <w:t xml:space="preserve"> </w:t>
      </w:r>
      <w:r w:rsidR="009C1D2A" w:rsidRPr="009C1D2A">
        <w:rPr>
          <w:rFonts w:ascii="Arial" w:hAnsi="Arial" w:cs="Arial"/>
          <w:color w:val="000000" w:themeColor="text1"/>
          <w:sz w:val="16"/>
          <w:szCs w:val="16"/>
        </w:rPr>
        <w:t xml:space="preserve">aquisição de licenças de software, subscrição e prestação de </w:t>
      </w:r>
      <w:proofErr w:type="spellStart"/>
      <w:r w:rsidR="009C1D2A" w:rsidRPr="009C1D2A">
        <w:rPr>
          <w:rFonts w:ascii="Arial" w:hAnsi="Arial" w:cs="Arial"/>
          <w:color w:val="000000" w:themeColor="text1"/>
          <w:sz w:val="16"/>
          <w:szCs w:val="16"/>
        </w:rPr>
        <w:t>serviços</w:t>
      </w:r>
      <w:proofErr w:type="spellEnd"/>
      <w:r w:rsidR="009C1D2A" w:rsidRPr="009C1D2A">
        <w:rPr>
          <w:rFonts w:ascii="Arial" w:hAnsi="Arial" w:cs="Arial"/>
          <w:color w:val="000000" w:themeColor="text1"/>
          <w:sz w:val="16"/>
          <w:szCs w:val="16"/>
        </w:rPr>
        <w:t xml:space="preserve"> técnicos especializados e treinamentos, incluindo atualizações de versão, implantação, manutenção e suporte técnico</w:t>
      </w:r>
      <w:r w:rsidR="00A212A5" w:rsidRPr="00DE424D">
        <w:rPr>
          <w:rFonts w:ascii="Arial" w:hAnsi="Arial" w:cs="Arial"/>
          <w:color w:val="000000" w:themeColor="text1"/>
          <w:sz w:val="16"/>
          <w:szCs w:val="16"/>
        </w:rPr>
        <w:t>,</w:t>
      </w:r>
      <w:r w:rsidR="00C80482" w:rsidRPr="00DE424D">
        <w:rPr>
          <w:rFonts w:ascii="Arial" w:hAnsi="Arial" w:cs="Arial"/>
          <w:color w:val="000000" w:themeColor="text1"/>
          <w:sz w:val="16"/>
          <w:szCs w:val="16"/>
        </w:rPr>
        <w:t xml:space="preserve"> a pedido da </w:t>
      </w:r>
      <w:r w:rsidR="001557F3">
        <w:rPr>
          <w:rFonts w:ascii="Arial" w:hAnsi="Arial" w:cs="Arial"/>
          <w:color w:val="000000" w:themeColor="text1"/>
          <w:sz w:val="16"/>
          <w:szCs w:val="16"/>
        </w:rPr>
        <w:t>Secretaria de Estado de Finanças – SEFIN</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9C1D2A" w:rsidRPr="00F46492">
        <w:rPr>
          <w:rFonts w:ascii="Arial" w:hAnsi="Arial" w:cs="Arial"/>
          <w:color w:val="000000" w:themeColor="text1"/>
          <w:sz w:val="16"/>
          <w:szCs w:val="16"/>
        </w:rPr>
        <w:t>futura e eventual</w:t>
      </w:r>
      <w:r w:rsidR="009C1D2A" w:rsidRPr="00E014BB">
        <w:rPr>
          <w:sz w:val="22"/>
          <w:szCs w:val="22"/>
        </w:rPr>
        <w:t xml:space="preserve"> </w:t>
      </w:r>
      <w:r w:rsidR="009C1D2A" w:rsidRPr="009C1D2A">
        <w:rPr>
          <w:rFonts w:ascii="Arial" w:hAnsi="Arial" w:cs="Arial"/>
          <w:color w:val="000000" w:themeColor="text1"/>
          <w:sz w:val="16"/>
          <w:szCs w:val="16"/>
        </w:rPr>
        <w:t xml:space="preserve">aquisição de licenças de software, subscrição e prestação de </w:t>
      </w:r>
      <w:proofErr w:type="spellStart"/>
      <w:r w:rsidR="009C1D2A" w:rsidRPr="009C1D2A">
        <w:rPr>
          <w:rFonts w:ascii="Arial" w:hAnsi="Arial" w:cs="Arial"/>
          <w:color w:val="000000" w:themeColor="text1"/>
          <w:sz w:val="16"/>
          <w:szCs w:val="16"/>
        </w:rPr>
        <w:t>serviços</w:t>
      </w:r>
      <w:proofErr w:type="spellEnd"/>
      <w:r w:rsidR="009C1D2A" w:rsidRPr="009C1D2A">
        <w:rPr>
          <w:rFonts w:ascii="Arial" w:hAnsi="Arial" w:cs="Arial"/>
          <w:color w:val="000000" w:themeColor="text1"/>
          <w:sz w:val="16"/>
          <w:szCs w:val="16"/>
        </w:rPr>
        <w:t xml:space="preserve"> técnicos especializados e treinamentos, incluindo atualizações de versão, i</w:t>
      </w:r>
      <w:bookmarkStart w:id="1" w:name="_GoBack"/>
      <w:bookmarkEnd w:id="1"/>
      <w:r w:rsidR="009C1D2A" w:rsidRPr="009C1D2A">
        <w:rPr>
          <w:rFonts w:ascii="Arial" w:hAnsi="Arial" w:cs="Arial"/>
          <w:color w:val="000000" w:themeColor="text1"/>
          <w:sz w:val="16"/>
          <w:szCs w:val="16"/>
        </w:rPr>
        <w:t>mplantação, manutenção e suporte técnico</w:t>
      </w:r>
      <w:r w:rsidR="001557F3" w:rsidRPr="00DE424D">
        <w:rPr>
          <w:rFonts w:ascii="Arial" w:hAnsi="Arial" w:cs="Arial"/>
          <w:color w:val="000000" w:themeColor="text1"/>
          <w:sz w:val="16"/>
          <w:szCs w:val="16"/>
        </w:rPr>
        <w:t xml:space="preserve">, a pedido da </w:t>
      </w:r>
      <w:r w:rsidR="001557F3">
        <w:rPr>
          <w:rFonts w:ascii="Arial" w:hAnsi="Arial" w:cs="Arial"/>
          <w:color w:val="000000" w:themeColor="text1"/>
          <w:sz w:val="16"/>
          <w:szCs w:val="16"/>
        </w:rPr>
        <w:t>Secretaria de Estado de Finanças – SEFIN</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7D09C0" w:rsidRDefault="007D09C0" w:rsidP="00083F99">
      <w:pPr>
        <w:pStyle w:val="PargrafodaLista3"/>
        <w:numPr>
          <w:ilvl w:val="0"/>
          <w:numId w:val="1"/>
        </w:numPr>
        <w:spacing w:line="276" w:lineRule="auto"/>
        <w:rPr>
          <w:rFonts w:ascii="Arial" w:hAnsi="Arial" w:cs="Arial"/>
          <w:b/>
          <w:sz w:val="16"/>
          <w:szCs w:val="16"/>
          <w:lang w:eastAsia="pt-BR"/>
        </w:rPr>
      </w:pPr>
      <w:r w:rsidRPr="007D09C0">
        <w:rPr>
          <w:rFonts w:ascii="Arial" w:hAnsi="Arial" w:cs="Arial"/>
          <w:b/>
          <w:sz w:val="16"/>
          <w:szCs w:val="16"/>
        </w:rPr>
        <w:t>DO LOCAL/PRAZO E CONDIÇÕES DE ENTREGA/RECEBIMENTO</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6EBE" w:rsidRDefault="00256EBE" w:rsidP="007D09C0">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
        <w:gridCol w:w="10873"/>
      </w:tblGrid>
      <w:tr w:rsidR="006B04DB" w:rsidRPr="007D09C0" w:rsidTr="00370949">
        <w:trPr>
          <w:gridBefore w:val="1"/>
          <w:wBefore w:w="32" w:type="pct"/>
          <w:trHeight w:val="439"/>
        </w:trPr>
        <w:tc>
          <w:tcPr>
            <w:tcW w:w="4968" w:type="pct"/>
            <w:tcBorders>
              <w:top w:val="nil"/>
              <w:left w:val="nil"/>
              <w:bottom w:val="nil"/>
              <w:right w:val="nil"/>
            </w:tcBorders>
          </w:tcPr>
          <w:p w:rsidR="00DE77D2" w:rsidRPr="007D09C0" w:rsidRDefault="007D09C0" w:rsidP="007D09C0">
            <w:pPr>
              <w:pStyle w:val="PargrafodaLista3"/>
              <w:numPr>
                <w:ilvl w:val="1"/>
                <w:numId w:val="2"/>
              </w:numPr>
              <w:tabs>
                <w:tab w:val="clear" w:pos="360"/>
                <w:tab w:val="num" w:pos="-213"/>
                <w:tab w:val="left" w:pos="355"/>
              </w:tabs>
              <w:spacing w:line="276" w:lineRule="auto"/>
              <w:ind w:left="0" w:firstLine="0"/>
              <w:jc w:val="both"/>
              <w:rPr>
                <w:rFonts w:ascii="Arial" w:hAnsi="Arial" w:cs="Arial"/>
                <w:sz w:val="16"/>
                <w:szCs w:val="16"/>
              </w:rPr>
            </w:pPr>
            <w:r w:rsidRPr="007D09C0">
              <w:rPr>
                <w:rFonts w:ascii="Arial" w:hAnsi="Arial" w:cs="Arial"/>
                <w:b/>
                <w:sz w:val="16"/>
                <w:szCs w:val="16"/>
              </w:rPr>
              <w:t>DO PRAZO</w:t>
            </w:r>
            <w:r w:rsidR="00214276" w:rsidRPr="007D09C0">
              <w:rPr>
                <w:rFonts w:ascii="Arial" w:hAnsi="Arial" w:cs="Arial"/>
                <w:sz w:val="16"/>
                <w:szCs w:val="16"/>
                <w:lang w:eastAsia="pt-BR"/>
              </w:rPr>
              <w:t xml:space="preserve">: </w:t>
            </w:r>
            <w:r w:rsidR="004A4227" w:rsidRPr="004A4227">
              <w:rPr>
                <w:rFonts w:ascii="Arial" w:hAnsi="Arial" w:cs="Arial"/>
                <w:sz w:val="16"/>
                <w:szCs w:val="16"/>
                <w:lang w:eastAsia="pt-BR"/>
              </w:rPr>
              <w:t>Os itens relacionados ao Lote I – Licenças e Subscrições e ao Lote II – Serviços Técnicos Remotos/</w:t>
            </w:r>
            <w:proofErr w:type="spellStart"/>
            <w:r w:rsidR="004A4227" w:rsidRPr="004A4227">
              <w:rPr>
                <w:rFonts w:ascii="Arial" w:hAnsi="Arial" w:cs="Arial"/>
                <w:sz w:val="16"/>
                <w:szCs w:val="16"/>
                <w:lang w:eastAsia="pt-BR"/>
              </w:rPr>
              <w:t>Cloud</w:t>
            </w:r>
            <w:proofErr w:type="spellEnd"/>
            <w:r w:rsidR="004A4227" w:rsidRPr="004A4227">
              <w:rPr>
                <w:rFonts w:ascii="Arial" w:hAnsi="Arial" w:cs="Arial"/>
                <w:sz w:val="16"/>
                <w:szCs w:val="16"/>
                <w:lang w:eastAsia="pt-BR"/>
              </w:rPr>
              <w:t xml:space="preserve"> Services deverão ser entregues no prazo máximo de 30 (trinta) dias úteis, após assinatura de contrato/nota de empenho, com acuse de recebimento, como nas formas habituais. Os itens relacionados ao Lote III – Consultoria/Operação Assistida e Lote IV – Treinamentos deverão ser entregues no prazo pactuado entre CONTRATANTE e CONTRATADA na respectiva Ordem de Serviço.</w:t>
            </w:r>
          </w:p>
          <w:p w:rsidR="007D09C0" w:rsidRPr="007D09C0" w:rsidRDefault="007D09C0" w:rsidP="007D09C0">
            <w:pPr>
              <w:pStyle w:val="PargrafodaLista3"/>
              <w:tabs>
                <w:tab w:val="left" w:pos="355"/>
              </w:tabs>
              <w:spacing w:line="276" w:lineRule="auto"/>
              <w:ind w:left="0"/>
              <w:jc w:val="both"/>
              <w:rPr>
                <w:rFonts w:ascii="Arial" w:hAnsi="Arial" w:cs="Arial"/>
                <w:sz w:val="16"/>
                <w:szCs w:val="16"/>
              </w:rPr>
            </w:pPr>
          </w:p>
        </w:tc>
      </w:tr>
      <w:tr w:rsidR="006B04DB" w:rsidRPr="007D09C0" w:rsidTr="00DE77D2">
        <w:tc>
          <w:tcPr>
            <w:tcW w:w="5000" w:type="pct"/>
            <w:gridSpan w:val="2"/>
            <w:tcBorders>
              <w:top w:val="nil"/>
              <w:left w:val="nil"/>
              <w:bottom w:val="nil"/>
              <w:right w:val="nil"/>
            </w:tcBorders>
          </w:tcPr>
          <w:p w:rsidR="00256EBE" w:rsidRDefault="00CF6980" w:rsidP="00CB5F45">
            <w:pPr>
              <w:pStyle w:val="PargrafodaLista3"/>
              <w:numPr>
                <w:ilvl w:val="1"/>
                <w:numId w:val="2"/>
              </w:numPr>
              <w:spacing w:line="360" w:lineRule="auto"/>
              <w:jc w:val="both"/>
              <w:rPr>
                <w:rFonts w:ascii="Arial" w:hAnsi="Arial" w:cs="Arial"/>
                <w:sz w:val="16"/>
                <w:szCs w:val="16"/>
                <w:lang w:eastAsia="pt-BR"/>
              </w:rPr>
            </w:pPr>
            <w:r w:rsidRPr="007D09C0">
              <w:rPr>
                <w:rFonts w:ascii="Arial" w:hAnsi="Arial" w:cs="Arial"/>
                <w:b/>
                <w:sz w:val="16"/>
                <w:szCs w:val="16"/>
                <w:lang w:eastAsia="pt-BR"/>
              </w:rPr>
              <w:t>DO LOCAL DE ENTREGA</w:t>
            </w:r>
            <w:r w:rsidR="006B04DB" w:rsidRPr="007D09C0">
              <w:rPr>
                <w:rFonts w:ascii="Arial" w:hAnsi="Arial" w:cs="Arial"/>
                <w:b/>
                <w:sz w:val="16"/>
                <w:szCs w:val="16"/>
                <w:lang w:eastAsia="pt-BR"/>
              </w:rPr>
              <w:t>:</w:t>
            </w:r>
            <w:r w:rsidR="00370949" w:rsidRPr="007D09C0">
              <w:rPr>
                <w:rFonts w:ascii="Arial" w:hAnsi="Arial" w:cs="Arial"/>
                <w:sz w:val="16"/>
                <w:szCs w:val="16"/>
                <w:lang w:eastAsia="pt-BR"/>
              </w:rPr>
              <w:t xml:space="preserve"> </w:t>
            </w:r>
            <w:r w:rsidR="004A4227" w:rsidRPr="004A4227">
              <w:rPr>
                <w:rFonts w:ascii="Arial" w:hAnsi="Arial" w:cs="Arial"/>
                <w:sz w:val="16"/>
                <w:szCs w:val="16"/>
                <w:lang w:eastAsia="pt-BR"/>
              </w:rPr>
              <w:t xml:space="preserve">Os produtos deverão ser entregues na Gerência de Controle de Informações (GEINF), localizada à Av. </w:t>
            </w:r>
            <w:proofErr w:type="spellStart"/>
            <w:r w:rsidR="004A4227" w:rsidRPr="004A4227">
              <w:rPr>
                <w:rFonts w:ascii="Arial" w:hAnsi="Arial" w:cs="Arial"/>
                <w:sz w:val="16"/>
                <w:szCs w:val="16"/>
                <w:lang w:eastAsia="pt-BR"/>
              </w:rPr>
              <w:t>Farquar</w:t>
            </w:r>
            <w:proofErr w:type="spellEnd"/>
            <w:r w:rsidR="004A4227" w:rsidRPr="004A4227">
              <w:rPr>
                <w:rFonts w:ascii="Arial" w:hAnsi="Arial" w:cs="Arial"/>
                <w:sz w:val="16"/>
                <w:szCs w:val="16"/>
                <w:lang w:eastAsia="pt-BR"/>
              </w:rPr>
              <w:t>, nº 2986 Palácio Rio Madeira - Edifício Rio Jamari - 6° andar - CEP 76801-470, Bairro: Pedrinhas, fone: (69)3211-6100, ramal nº.1112.  NO HORÁRIO DE 7h30min ÀS 13h30min.</w:t>
            </w:r>
          </w:p>
          <w:p w:rsidR="007D09C0" w:rsidRPr="007D09C0" w:rsidRDefault="007D09C0" w:rsidP="007D09C0">
            <w:pPr>
              <w:pStyle w:val="PargrafodaLista3"/>
              <w:ind w:left="360"/>
              <w:jc w:val="both"/>
              <w:rPr>
                <w:rFonts w:ascii="Arial" w:hAnsi="Arial" w:cs="Arial"/>
                <w:sz w:val="16"/>
                <w:szCs w:val="16"/>
                <w:lang w:eastAsia="pt-BR"/>
              </w:rPr>
            </w:pPr>
          </w:p>
          <w:p w:rsidR="00256EBE" w:rsidRPr="007D09C0" w:rsidRDefault="00256EBE" w:rsidP="00083F99">
            <w:pPr>
              <w:pStyle w:val="PargrafodaLista3"/>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CB5F45">
      <w:pPr>
        <w:pStyle w:val="NormalWeb"/>
        <w:numPr>
          <w:ilvl w:val="1"/>
          <w:numId w:val="4"/>
        </w:numPr>
        <w:spacing w:before="0" w:beforeAutospacing="0" w:after="0" w:afterAutospacing="0" w:line="360" w:lineRule="auto"/>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Default="009D2314" w:rsidP="001557F3">
      <w:pPr>
        <w:pStyle w:val="Lista2"/>
        <w:numPr>
          <w:ilvl w:val="0"/>
          <w:numId w:val="4"/>
        </w:numPr>
        <w:jc w:val="both"/>
        <w:rPr>
          <w:b/>
          <w:bCs/>
          <w:sz w:val="16"/>
          <w:szCs w:val="16"/>
        </w:rPr>
      </w:pPr>
      <w:r w:rsidRPr="00A848CB">
        <w:rPr>
          <w:b/>
          <w:bCs/>
          <w:sz w:val="16"/>
          <w:szCs w:val="16"/>
        </w:rPr>
        <w:t>DAS SANÇÕES NO CASO DE INADIMPLÊNCIA E DO CANCELAMENTO DO REGISTRO DE PREÇOS</w:t>
      </w:r>
    </w:p>
    <w:p w:rsidR="001101EC" w:rsidRDefault="001101EC" w:rsidP="001101EC">
      <w:pPr>
        <w:pStyle w:val="Lista2"/>
        <w:ind w:left="360" w:firstLine="0"/>
        <w:jc w:val="both"/>
        <w:rPr>
          <w:b/>
          <w:bCs/>
          <w:sz w:val="16"/>
          <w:szCs w:val="16"/>
        </w:rPr>
      </w:pP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9.1.  Ressalvada a hipótese de força maior e caso fortuito, o atraso injustificado na execução parcial ou total do objeto (entrega das licenças) sujeitará a empresa contratada, nos termos do artigo 86 da Lei n. 8.666/93, à multa de mora diária, a ser calculada conforme a seguinte à fórmula:</w:t>
      </w:r>
    </w:p>
    <w:p w:rsidR="001101EC" w:rsidRPr="001101EC" w:rsidRDefault="001101EC" w:rsidP="001101EC">
      <w:pPr>
        <w:pStyle w:val="Recuodecorpodetexto"/>
        <w:autoSpaceDE w:val="0"/>
        <w:autoSpaceDN w:val="0"/>
        <w:adjustRightInd w:val="0"/>
        <w:rPr>
          <w:rFonts w:ascii="Arial" w:hAnsi="Arial" w:cs="Arial"/>
          <w:sz w:val="16"/>
          <w:szCs w:val="16"/>
          <w:lang w:val="pt-BR"/>
        </w:rPr>
      </w:pPr>
      <w:r w:rsidRPr="001101EC">
        <w:rPr>
          <w:rFonts w:ascii="Arial" w:hAnsi="Arial" w:cs="Arial"/>
          <w:sz w:val="16"/>
          <w:szCs w:val="16"/>
          <w:lang w:val="pt-BR"/>
        </w:rPr>
        <w:t xml:space="preserve">                           V</w:t>
      </w:r>
    </w:p>
    <w:p w:rsidR="001101EC" w:rsidRPr="001101EC" w:rsidRDefault="001101EC" w:rsidP="001101EC">
      <w:pPr>
        <w:pStyle w:val="Recuodecorpodetexto"/>
        <w:autoSpaceDE w:val="0"/>
        <w:autoSpaceDN w:val="0"/>
        <w:adjustRightInd w:val="0"/>
        <w:rPr>
          <w:rFonts w:ascii="Arial" w:hAnsi="Arial" w:cs="Arial"/>
          <w:sz w:val="16"/>
          <w:szCs w:val="16"/>
          <w:lang w:val="pt-BR"/>
        </w:rPr>
      </w:pPr>
      <w:r w:rsidRPr="001101EC">
        <w:rPr>
          <w:rFonts w:ascii="Arial" w:hAnsi="Arial" w:cs="Arial"/>
          <w:sz w:val="16"/>
          <w:szCs w:val="16"/>
          <w:lang w:val="pt-BR"/>
        </w:rPr>
        <w:t xml:space="preserve">M = R$ 0,20 x -------- </w:t>
      </w:r>
      <w:proofErr w:type="spellStart"/>
      <w:r w:rsidRPr="001101EC">
        <w:rPr>
          <w:rFonts w:ascii="Arial" w:hAnsi="Arial" w:cs="Arial"/>
          <w:sz w:val="16"/>
          <w:szCs w:val="16"/>
          <w:lang w:val="pt-BR"/>
        </w:rPr>
        <w:t>x</w:t>
      </w:r>
      <w:proofErr w:type="spellEnd"/>
      <w:r w:rsidRPr="001101EC">
        <w:rPr>
          <w:rFonts w:ascii="Arial" w:hAnsi="Arial" w:cs="Arial"/>
          <w:sz w:val="16"/>
          <w:szCs w:val="16"/>
          <w:lang w:val="pt-BR"/>
        </w:rPr>
        <w:t xml:space="preserve"> dias de atraso</w:t>
      </w:r>
    </w:p>
    <w:p w:rsidR="001101EC" w:rsidRPr="001101EC" w:rsidRDefault="001101EC" w:rsidP="001101EC">
      <w:pPr>
        <w:pStyle w:val="Recuodecorpodetexto"/>
        <w:autoSpaceDE w:val="0"/>
        <w:autoSpaceDN w:val="0"/>
        <w:adjustRightInd w:val="0"/>
        <w:rPr>
          <w:rFonts w:ascii="Arial" w:hAnsi="Arial" w:cs="Arial"/>
          <w:sz w:val="16"/>
          <w:szCs w:val="16"/>
          <w:lang w:val="pt-BR"/>
        </w:rPr>
      </w:pPr>
      <w:r w:rsidRPr="001101EC">
        <w:rPr>
          <w:rFonts w:ascii="Arial" w:hAnsi="Arial" w:cs="Arial"/>
          <w:sz w:val="16"/>
          <w:szCs w:val="16"/>
          <w:lang w:val="pt-BR"/>
        </w:rPr>
        <w:t xml:space="preserve">                           T</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Onde:</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M = é o valor da multa a ser paga</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V = é o preço global atualizado do contrato</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T = é o prazo máximo de execução do contrato</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9.2. No caso do descumprimento das obrigações referentes ao serviço de suporte técnico a empresa contratada estará sujeita à penalidade de multa, a ser calculada da seguinte forma:</w:t>
      </w:r>
    </w:p>
    <w:p w:rsidR="001101EC" w:rsidRPr="001101EC" w:rsidRDefault="001101EC" w:rsidP="001101EC">
      <w:pPr>
        <w:pStyle w:val="Recuodecorpodetexto"/>
        <w:autoSpaceDE w:val="0"/>
        <w:autoSpaceDN w:val="0"/>
        <w:adjustRightInd w:val="0"/>
        <w:jc w:val="both"/>
        <w:rPr>
          <w:rFonts w:ascii="Arial" w:hAnsi="Arial" w:cs="Arial"/>
          <w:sz w:val="16"/>
          <w:szCs w:val="16"/>
          <w:lang w:val="pt-BR"/>
        </w:rPr>
      </w:pPr>
    </w:p>
    <w:p w:rsidR="001101EC" w:rsidRPr="001101EC" w:rsidRDefault="001101EC" w:rsidP="001101EC">
      <w:pPr>
        <w:pStyle w:val="Recuodecorpodetexto"/>
        <w:autoSpaceDE w:val="0"/>
        <w:autoSpaceDN w:val="0"/>
        <w:adjustRightInd w:val="0"/>
        <w:jc w:val="both"/>
        <w:rPr>
          <w:rFonts w:ascii="Arial" w:hAnsi="Arial" w:cs="Arial"/>
          <w:sz w:val="16"/>
          <w:szCs w:val="16"/>
          <w:lang w:val="pt-BR"/>
        </w:rPr>
      </w:pPr>
      <w:r w:rsidRPr="001101EC">
        <w:rPr>
          <w:rFonts w:ascii="Arial" w:hAnsi="Arial" w:cs="Arial"/>
          <w:sz w:val="16"/>
          <w:szCs w:val="16"/>
          <w:lang w:val="pt-BR"/>
        </w:rPr>
        <w:t>a) Para os problemas classificados com grau de severidade CRISE: 10% do valor pago a título de Manutenção/Suporte Técnico, por ocorrência;</w:t>
      </w:r>
    </w:p>
    <w:p w:rsidR="001101EC" w:rsidRPr="001101EC" w:rsidRDefault="001101EC" w:rsidP="001101EC">
      <w:pPr>
        <w:pStyle w:val="Recuodecorpodetexto"/>
        <w:autoSpaceDE w:val="0"/>
        <w:autoSpaceDN w:val="0"/>
        <w:adjustRightInd w:val="0"/>
        <w:jc w:val="both"/>
        <w:rPr>
          <w:rFonts w:ascii="Arial" w:hAnsi="Arial" w:cs="Arial"/>
          <w:sz w:val="16"/>
          <w:szCs w:val="16"/>
          <w:lang w:val="pt-BR"/>
        </w:rPr>
      </w:pPr>
      <w:r w:rsidRPr="001101EC">
        <w:rPr>
          <w:rFonts w:ascii="Arial" w:hAnsi="Arial" w:cs="Arial"/>
          <w:sz w:val="16"/>
          <w:szCs w:val="16"/>
          <w:lang w:val="pt-BR"/>
        </w:rPr>
        <w:t>b) Para os problemas classificados com grau de severidade CRÍTICO: 5% do valor pago a título de Manutenção/Suporte Técnico, por ocorrência;</w:t>
      </w:r>
    </w:p>
    <w:p w:rsidR="001101EC" w:rsidRPr="001101EC" w:rsidRDefault="001101EC" w:rsidP="001101EC">
      <w:pPr>
        <w:pStyle w:val="Recuodecorpodetexto"/>
        <w:autoSpaceDE w:val="0"/>
        <w:autoSpaceDN w:val="0"/>
        <w:adjustRightInd w:val="0"/>
        <w:jc w:val="both"/>
        <w:rPr>
          <w:rFonts w:ascii="Arial" w:hAnsi="Arial" w:cs="Arial"/>
          <w:sz w:val="16"/>
          <w:szCs w:val="16"/>
          <w:lang w:val="pt-BR"/>
        </w:rPr>
      </w:pPr>
      <w:r w:rsidRPr="001101EC">
        <w:rPr>
          <w:rFonts w:ascii="Arial" w:hAnsi="Arial" w:cs="Arial"/>
          <w:sz w:val="16"/>
          <w:szCs w:val="16"/>
          <w:lang w:val="pt-BR"/>
        </w:rPr>
        <w:t>c) Para os problemas classificados com grau de severidade PADRÃO: 1% do valor pago a título de Manutenção/Suporte Técnico, por ocorrência.</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9.3. Entende-se por hipótese de força maior e caso fortuito, para efeito de penalidades e sanções: ato de inimigo público, guerra, bloqueio, insurreições, levantes, epidemias, avalanches, tempestades, raios, enchentes, perturbações civis, explosões, greves ou quaisquer outros acontecimentos semelhantes aos acima enumerados, ou de força equivalente, que fujam ao controle razoável de qualquer das partes interessadas, que mesmo diligentemente, não consiga impedir sua ocorrência;</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 xml:space="preserve">9.4. O valor das multas previstas no item 9.1. </w:t>
      </w:r>
      <w:proofErr w:type="gramStart"/>
      <w:r w:rsidRPr="001101EC">
        <w:rPr>
          <w:rFonts w:ascii="Arial" w:hAnsi="Arial" w:cs="Arial"/>
          <w:sz w:val="16"/>
          <w:szCs w:val="16"/>
          <w:lang w:val="pt-BR"/>
        </w:rPr>
        <w:t>será</w:t>
      </w:r>
      <w:proofErr w:type="gramEnd"/>
      <w:r w:rsidRPr="001101EC">
        <w:rPr>
          <w:rFonts w:ascii="Arial" w:hAnsi="Arial" w:cs="Arial"/>
          <w:sz w:val="16"/>
          <w:szCs w:val="16"/>
          <w:lang w:val="pt-BR"/>
        </w:rPr>
        <w:t xml:space="preserve"> descontado dos créditos que a empresa contratada possuir junto à Secretaria de Estado de Finanças, e poderá cumular com as demais sanções administrativas, exceto com a multa prevista no subitem 9.2.;</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9.5. Na aplicação da fórmula acima, ocorrendo dízima na divisão dos valores representados por “V” e “T”, estes serão arredondados para mais;</w:t>
      </w:r>
    </w:p>
    <w:p w:rsid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9.6. A aplicação de multa não impede que a Secretaria de Estado de Finanças aplique as outras sanções previstas na Lei Federal n. 8.666/93;</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9.7. A empresa contratada deverá comunicar à Secretaria de Estado de Finanças a ocorrência da inexecução do ajuste por motivo de força maior/caso fortuito, dentro de prazo de 02 (dois) dias de sua verificação e apresentar os documentos da respectiva comprovação, em até 05 (cinco) dias contados do evento, sob pena de não serem considerados os motivos alegados;</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9.8. A SEFIN no prazo máximo de até 05 (cinco) dias consecutivos, contados do recebimento dos documentos de comprovação, deverá aceitar ou recusar os motivos alegados, dando por escrito as razões de sua eventual aceitação ou recusa;</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9.9. Nos termos do art. 87 da Lei 8.666/93, pela inexecução total ou parcial do objeto contratado, a Secretaria de Estado de Finanças, também, poderá, garantida a prévia defesa e mediante publicação no Diário Oficial do Estado, aplicar as seguintes penalidades:</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a) Advertência por escrito;</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b) Multa, de natureza penal, compensatória das perdas e danos sofridos pela Administração, que será aplicada da seguinte forma:</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c) No caso de inexecução parcial do Contrato, multa compensatória de 10% (dez por cento) sobre o valor da obrigação não cumprida;</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d) No caso de inexecução total do Contrato, multa compensatória de 10% (dez por cento) sobre o Valor Global.</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e) Suspensão temporária de participação em licitação e impedimento de contratar com a Administração, por prazo não superior a 02 (dois) anos, sendo que em caso de inexecução total sem justificativa aceita pela Administração, será aplicado o limite máximo previsto de 05 (cinco) anos;</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f) Declaração de inidoneidade para licitar ou contratar com a Administração Pública, enquanto perdurarem os motivos determinantes da punição, ou até que seja promovida a reabilitação perante a própria autoridade que aplicou a sanção, depois do ressarcimento à Administração pelos prejuízos resultantes e depois de decorrido o prazo da sanção aplicada com base no inciso IV, do art. 87, da Lei nº 8.666/1993.</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9.10. Na hipótese de que venha a ser aplicada multa prevista neste Termo, o depósito do valor da mesma deverá ser feito no Banco, Agência e Conta Corrente indicados na nota fiscal;</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9.11. No processo de aplicação da sanção administrativa é assegurado o direito ao contraditório e a ampla defesa, facultada a defesa prévia do interessado no respectivo processo, no prazo de 05 (cinco) dias úteis;</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 xml:space="preserve">9.12. Caso a empresa contratada não proceda ao recolhimento da multa no prazo de 05 (cinco) dias úteis, contados da intimação por parte da Secretaria de Estado de Finanças, o respectivo valor será descontado dos créditos que esta possuir com a SEFIN, e, se estes não forem suficientes, o valor que </w:t>
      </w:r>
      <w:r w:rsidRPr="001101EC">
        <w:rPr>
          <w:rFonts w:ascii="Arial" w:hAnsi="Arial" w:cs="Arial"/>
          <w:sz w:val="16"/>
          <w:szCs w:val="16"/>
          <w:lang w:val="pt-BR"/>
        </w:rPr>
        <w:lastRenderedPageBreak/>
        <w:t>sobejar será encaminhado para inscrição em Dívida Ativa e execução pela Procuradoria Geral do Estado;</w:t>
      </w:r>
    </w:p>
    <w:p w:rsidR="001101EC" w:rsidRPr="001101EC" w:rsidRDefault="001101EC" w:rsidP="001101EC">
      <w:pPr>
        <w:pStyle w:val="Recuodecorpodetexto"/>
        <w:autoSpaceDE w:val="0"/>
        <w:autoSpaceDN w:val="0"/>
        <w:adjustRightInd w:val="0"/>
        <w:ind w:left="0"/>
        <w:jc w:val="both"/>
        <w:rPr>
          <w:rFonts w:ascii="Arial" w:hAnsi="Arial" w:cs="Arial"/>
          <w:sz w:val="16"/>
          <w:szCs w:val="16"/>
          <w:lang w:val="pt-BR"/>
        </w:rPr>
      </w:pPr>
      <w:r w:rsidRPr="001101EC">
        <w:rPr>
          <w:rFonts w:ascii="Arial" w:hAnsi="Arial" w:cs="Arial"/>
          <w:sz w:val="16"/>
          <w:szCs w:val="16"/>
          <w:lang w:val="pt-BR"/>
        </w:rPr>
        <w:t>9.13. No prazo de 05 (cinco) dias úteis, a contar da ciência da intimação, do ato que aplicar penalidade caberá recurso, podendo a Administração reconsiderar sua decisão ou nesse prazo encaminhá-la devidamente informada para a apreciação e decisão superior, dentro do mesmo prazo.</w:t>
      </w:r>
    </w:p>
    <w:p w:rsidR="001101EC" w:rsidRPr="001101EC" w:rsidRDefault="001101EC" w:rsidP="001101EC">
      <w:pPr>
        <w:pStyle w:val="Lista2"/>
        <w:ind w:left="360" w:firstLine="0"/>
        <w:jc w:val="both"/>
        <w:rPr>
          <w:bCs/>
          <w:sz w:val="16"/>
          <w:szCs w:val="16"/>
        </w:rPr>
      </w:pPr>
      <w:r>
        <w:rPr>
          <w:sz w:val="16"/>
          <w:szCs w:val="16"/>
        </w:rPr>
        <w:t>9.14.</w:t>
      </w:r>
      <w:r w:rsidRPr="001101EC">
        <w:rPr>
          <w:sz w:val="16"/>
          <w:szCs w:val="16"/>
        </w:rPr>
        <w:t xml:space="preserve"> A terceirização de serviços por parte da CONTRATADA não a exime das obrigações pactuadas, respondendo esta pelos prejuízos ou danos à CONTRATANTE pelos atos praticados pela terceirizada.</w:t>
      </w:r>
    </w:p>
    <w:p w:rsidR="001557F3" w:rsidRDefault="001557F3" w:rsidP="001557F3">
      <w:pPr>
        <w:pStyle w:val="Lista2"/>
        <w:ind w:left="360" w:firstLine="0"/>
        <w:jc w:val="both"/>
        <w:rPr>
          <w:b/>
          <w:bCs/>
          <w:sz w:val="16"/>
          <w:szCs w:val="16"/>
        </w:rPr>
      </w:pPr>
    </w:p>
    <w:p w:rsidR="00A848CB" w:rsidRDefault="00A848CB" w:rsidP="00A848CB">
      <w:pPr>
        <w:pStyle w:val="Lista2"/>
        <w:ind w:left="0" w:firstLine="0"/>
        <w:rPr>
          <w:b/>
          <w:bCs/>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CB5F45">
      <w:pPr>
        <w:pStyle w:val="PargrafodaLista"/>
        <w:numPr>
          <w:ilvl w:val="1"/>
          <w:numId w:val="8"/>
        </w:numPr>
        <w:suppressAutoHyphens/>
        <w:spacing w:line="360" w:lineRule="auto"/>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w:t>
      </w:r>
      <w:r>
        <w:rPr>
          <w:rFonts w:ascii="Arial" w:hAnsi="Arial" w:cs="Arial"/>
          <w:sz w:val="16"/>
          <w:szCs w:val="16"/>
        </w:rPr>
        <w:t>derá</w:t>
      </w:r>
      <w:proofErr w:type="gramEnd"/>
      <w:r>
        <w:rPr>
          <w:rFonts w:ascii="Arial" w:hAnsi="Arial" w:cs="Arial"/>
          <w:sz w:val="16"/>
          <w:szCs w:val="16"/>
        </w:rPr>
        <w:t xml:space="preserve">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B5F45">
      <w:pPr>
        <w:pStyle w:val="PargrafodaLista"/>
        <w:suppressAutoHyphens/>
        <w:spacing w:line="360" w:lineRule="auto"/>
        <w:ind w:left="0" w:right="47"/>
        <w:jc w:val="both"/>
        <w:rPr>
          <w:rFonts w:ascii="Arial" w:hAnsi="Arial" w:cs="Arial"/>
          <w:color w:val="000000"/>
          <w:sz w:val="16"/>
          <w:szCs w:val="16"/>
        </w:rPr>
      </w:pPr>
    </w:p>
    <w:p w:rsidR="00334F76" w:rsidRPr="009A54D1" w:rsidRDefault="00CC63C7" w:rsidP="00CB5F45">
      <w:pPr>
        <w:pStyle w:val="PargrafodaLista"/>
        <w:numPr>
          <w:ilvl w:val="1"/>
          <w:numId w:val="8"/>
        </w:numPr>
        <w:suppressAutoHyphens/>
        <w:spacing w:line="360" w:lineRule="auto"/>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CB5F45">
      <w:pPr>
        <w:pStyle w:val="PargrafodaLista"/>
        <w:suppressAutoHyphens/>
        <w:spacing w:line="360" w:lineRule="auto"/>
        <w:ind w:left="0" w:right="47"/>
        <w:jc w:val="both"/>
        <w:rPr>
          <w:rFonts w:ascii="Arial" w:hAnsi="Arial" w:cs="Arial"/>
          <w:color w:val="000000"/>
          <w:sz w:val="16"/>
          <w:szCs w:val="16"/>
        </w:rPr>
      </w:pPr>
    </w:p>
    <w:p w:rsidR="0010657B" w:rsidRPr="009A54D1" w:rsidRDefault="00CC63C7" w:rsidP="00CB5F45">
      <w:pPr>
        <w:pStyle w:val="PargrafodaLista1"/>
        <w:numPr>
          <w:ilvl w:val="1"/>
          <w:numId w:val="8"/>
        </w:numPr>
        <w:spacing w:line="360" w:lineRule="auto"/>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B5F45">
      <w:pPr>
        <w:pStyle w:val="PargrafodaLista1"/>
        <w:spacing w:line="360" w:lineRule="auto"/>
        <w:ind w:left="0"/>
        <w:jc w:val="both"/>
        <w:rPr>
          <w:rFonts w:ascii="Arial" w:hAnsi="Arial" w:cs="Arial"/>
          <w:color w:val="000000"/>
          <w:sz w:val="16"/>
          <w:szCs w:val="16"/>
        </w:rPr>
      </w:pPr>
    </w:p>
    <w:p w:rsidR="00334F76" w:rsidRPr="009A54D1" w:rsidRDefault="00CC63C7" w:rsidP="00CB5F45">
      <w:pPr>
        <w:pStyle w:val="PargrafodaLista1"/>
        <w:numPr>
          <w:ilvl w:val="1"/>
          <w:numId w:val="8"/>
        </w:numPr>
        <w:tabs>
          <w:tab w:val="left" w:pos="142"/>
        </w:tabs>
        <w:spacing w:line="360" w:lineRule="auto"/>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B5F45">
      <w:pPr>
        <w:pStyle w:val="PargrafodaLista1"/>
        <w:tabs>
          <w:tab w:val="left" w:pos="142"/>
        </w:tabs>
        <w:spacing w:line="360" w:lineRule="auto"/>
        <w:ind w:left="0"/>
        <w:jc w:val="both"/>
        <w:rPr>
          <w:rFonts w:ascii="Arial" w:hAnsi="Arial" w:cs="Arial"/>
          <w:color w:val="000000"/>
          <w:sz w:val="16"/>
          <w:szCs w:val="16"/>
        </w:rPr>
      </w:pPr>
    </w:p>
    <w:p w:rsidR="00334F76" w:rsidRPr="00CC63C7" w:rsidRDefault="00CC63C7" w:rsidP="00CB5F45">
      <w:pPr>
        <w:pStyle w:val="PargrafodaLista1"/>
        <w:numPr>
          <w:ilvl w:val="1"/>
          <w:numId w:val="8"/>
        </w:numPr>
        <w:tabs>
          <w:tab w:val="left" w:pos="142"/>
        </w:tabs>
        <w:spacing w:line="360" w:lineRule="auto"/>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CE623C" w:rsidRDefault="00FE1BAB" w:rsidP="00CE623C">
      <w:pPr>
        <w:pStyle w:val="PargrafodaLista"/>
        <w:numPr>
          <w:ilvl w:val="0"/>
          <w:numId w:val="8"/>
        </w:numPr>
        <w:spacing w:line="360" w:lineRule="auto"/>
        <w:jc w:val="both"/>
        <w:rPr>
          <w:rFonts w:ascii="Arial" w:hAnsi="Arial" w:cs="Arial"/>
          <w:b/>
          <w:bCs/>
          <w:color w:val="000000"/>
          <w:sz w:val="16"/>
          <w:szCs w:val="16"/>
        </w:rPr>
      </w:pPr>
      <w:r w:rsidRPr="00CE623C">
        <w:rPr>
          <w:rFonts w:ascii="Arial" w:hAnsi="Arial" w:cs="Arial"/>
          <w:b/>
          <w:bCs/>
          <w:color w:val="000000"/>
          <w:sz w:val="16"/>
          <w:szCs w:val="16"/>
        </w:rPr>
        <w:t>DA ALTERAÇÃO DA ATA DE REGISTRO DE PREÇOS</w:t>
      </w:r>
    </w:p>
    <w:p w:rsidR="00CE623C" w:rsidRPr="00CE623C" w:rsidRDefault="00CE623C" w:rsidP="00CE623C">
      <w:pPr>
        <w:pStyle w:val="PargrafodaLista"/>
        <w:spacing w:line="360" w:lineRule="auto"/>
        <w:ind w:left="502"/>
        <w:jc w:val="both"/>
        <w:rPr>
          <w:rFonts w:ascii="Arial" w:hAnsi="Arial" w:cs="Arial"/>
          <w:b/>
          <w:bCs/>
          <w:color w:val="000000"/>
          <w:sz w:val="16"/>
          <w:szCs w:val="16"/>
        </w:rPr>
      </w:pPr>
    </w:p>
    <w:p w:rsidR="00E03821" w:rsidRPr="009A54D1" w:rsidRDefault="005E2FA0"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6C44FC" w:rsidRPr="009A54D1" w:rsidRDefault="00E03821" w:rsidP="001101EC">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B5F45">
      <w:pPr>
        <w:spacing w:line="360" w:lineRule="auto"/>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B5F45">
      <w:pPr>
        <w:spacing w:line="360" w:lineRule="auto"/>
        <w:jc w:val="both"/>
        <w:rPr>
          <w:rFonts w:ascii="Arial" w:hAnsi="Arial" w:cs="Arial"/>
          <w:sz w:val="16"/>
          <w:szCs w:val="16"/>
        </w:rPr>
      </w:pPr>
    </w:p>
    <w:p w:rsidR="009D2314" w:rsidRPr="009A54D1" w:rsidRDefault="00167705" w:rsidP="00CB5F45">
      <w:pPr>
        <w:spacing w:line="360" w:lineRule="auto"/>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B5F45">
      <w:pPr>
        <w:spacing w:line="360" w:lineRule="auto"/>
        <w:ind w:left="284"/>
        <w:jc w:val="both"/>
        <w:rPr>
          <w:rFonts w:ascii="Arial" w:hAnsi="Arial" w:cs="Arial"/>
          <w:bCs/>
          <w:sz w:val="16"/>
          <w:szCs w:val="16"/>
          <w:lang w:val="pt-PT"/>
        </w:rPr>
      </w:pPr>
    </w:p>
    <w:p w:rsidR="009D2314" w:rsidRPr="001101EC" w:rsidRDefault="00167705" w:rsidP="00CB5F45">
      <w:pPr>
        <w:spacing w:line="360" w:lineRule="auto"/>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1101EC" w:rsidRDefault="00167705" w:rsidP="001101EC">
      <w:pPr>
        <w:pStyle w:val="Corpodetexto3"/>
        <w:spacing w:line="360" w:lineRule="auto"/>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1101EC" w:rsidRDefault="00167705" w:rsidP="00CB5F45">
      <w:pPr>
        <w:spacing w:line="360" w:lineRule="auto"/>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CB5F45">
      <w:pPr>
        <w:pStyle w:val="Corpodetexto3"/>
        <w:spacing w:line="360" w:lineRule="auto"/>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CB5F45">
      <w:pPr>
        <w:spacing w:line="360" w:lineRule="auto"/>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1101EC" w:rsidRDefault="00167705" w:rsidP="00CB5F45">
      <w:pPr>
        <w:spacing w:line="360" w:lineRule="auto"/>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1101EC" w:rsidRDefault="00167705" w:rsidP="00CB5F45">
      <w:pPr>
        <w:spacing w:line="360" w:lineRule="auto"/>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5269EC" w:rsidRPr="009A54D1" w:rsidRDefault="009D2314" w:rsidP="00CB5F45">
      <w:pPr>
        <w:spacing w:line="360" w:lineRule="auto"/>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083F99">
        <w:rPr>
          <w:rFonts w:ascii="Arial" w:hAnsi="Arial" w:cs="Arial"/>
          <w:b/>
          <w:sz w:val="16"/>
          <w:szCs w:val="16"/>
        </w:rPr>
        <w:t>SE</w:t>
      </w:r>
      <w:r w:rsidR="00CE623C">
        <w:rPr>
          <w:rFonts w:ascii="Arial" w:hAnsi="Arial" w:cs="Arial"/>
          <w:b/>
          <w:sz w:val="16"/>
          <w:szCs w:val="16"/>
        </w:rPr>
        <w:t>FIN</w:t>
      </w:r>
      <w:r w:rsidR="00A848CB" w:rsidRPr="00C80482">
        <w:rPr>
          <w:rFonts w:ascii="Arial" w:hAnsi="Arial" w:cs="Arial"/>
          <w:sz w:val="16"/>
          <w:szCs w:val="16"/>
        </w:rPr>
        <w:t xml:space="preserve"> - </w:t>
      </w:r>
      <w:r w:rsidR="00CE623C">
        <w:rPr>
          <w:rFonts w:ascii="Arial" w:hAnsi="Arial" w:cs="Arial"/>
          <w:sz w:val="16"/>
          <w:szCs w:val="16"/>
        </w:rPr>
        <w:t>Secretaria de Estado de Finanças</w:t>
      </w:r>
    </w:p>
    <w:p w:rsidR="00370949" w:rsidRPr="009A54D1" w:rsidRDefault="00370949" w:rsidP="001D515A">
      <w:pPr>
        <w:rPr>
          <w:rFonts w:ascii="Arial" w:hAnsi="Arial"/>
          <w:sz w:val="16"/>
          <w:szCs w:val="16"/>
        </w:rPr>
      </w:pPr>
    </w:p>
    <w:p w:rsidR="00CE623C" w:rsidRDefault="00CE623C"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CB5F45">
      <w:pPr>
        <w:spacing w:line="360" w:lineRule="auto"/>
        <w:jc w:val="both"/>
        <w:rPr>
          <w:rFonts w:ascii="Arial" w:hAnsi="Arial" w:cs="Arial"/>
          <w:b/>
          <w:bCs/>
          <w:color w:val="000000"/>
          <w:sz w:val="16"/>
          <w:szCs w:val="16"/>
        </w:rPr>
      </w:pPr>
    </w:p>
    <w:p w:rsidR="009D2314" w:rsidRPr="009A54D1" w:rsidRDefault="009D2314" w:rsidP="00CB5F45">
      <w:pPr>
        <w:spacing w:line="360" w:lineRule="auto"/>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03D5F" w:rsidRPr="001101EC" w:rsidRDefault="005E2FA0" w:rsidP="001101EC">
      <w:pPr>
        <w:pStyle w:val="PargrafodaLista"/>
        <w:numPr>
          <w:ilvl w:val="1"/>
          <w:numId w:val="9"/>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9D2314" w:rsidRPr="001101EC" w:rsidRDefault="005E2FA0" w:rsidP="00CB5F45">
      <w:pPr>
        <w:pStyle w:val="PargrafodaLista"/>
        <w:numPr>
          <w:ilvl w:val="1"/>
          <w:numId w:val="9"/>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5E2FA0" w:rsidP="00CB5F45">
      <w:pPr>
        <w:numPr>
          <w:ilvl w:val="1"/>
          <w:numId w:val="9"/>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1101EC">
        <w:rPr>
          <w:rFonts w:ascii="Arial" w:hAnsi="Arial" w:cs="Arial"/>
          <w:bCs/>
          <w:color w:val="000000"/>
          <w:sz w:val="16"/>
          <w:szCs w:val="16"/>
        </w:rPr>
        <w:t xml:space="preserve">Coordenadora do </w:t>
      </w:r>
      <w:r w:rsidR="00674210">
        <w:rPr>
          <w:rFonts w:ascii="Arial" w:hAnsi="Arial" w:cs="Arial"/>
          <w:bCs/>
          <w:color w:val="000000"/>
          <w:sz w:val="16"/>
          <w:szCs w:val="16"/>
        </w:rPr>
        <w:t>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C50BF7" w:rsidRPr="00C50BF7" w:rsidRDefault="00CE623C"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23C" w:rsidRDefault="00CE623C">
      <w:r>
        <w:separator/>
      </w:r>
    </w:p>
  </w:endnote>
  <w:endnote w:type="continuationSeparator" w:id="0">
    <w:p w:rsidR="00CE623C" w:rsidRDefault="00CE6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23C" w:rsidRDefault="00CE623C">
      <w:r>
        <w:separator/>
      </w:r>
    </w:p>
  </w:footnote>
  <w:footnote w:type="continuationSeparator" w:id="0">
    <w:p w:rsidR="00CE623C" w:rsidRDefault="00CE6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23C" w:rsidRDefault="00CE623C">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0931738"/>
    <w:multiLevelType w:val="multilevel"/>
    <w:tmpl w:val="23B40B7E"/>
    <w:lvl w:ilvl="0">
      <w:start w:val="6"/>
      <w:numFmt w:val="decimal"/>
      <w:lvlText w:val="%1."/>
      <w:lvlJc w:val="left"/>
      <w:pPr>
        <w:ind w:left="360" w:hanging="360"/>
      </w:pPr>
      <w:rPr>
        <w:rFonts w:hint="default"/>
        <w:b/>
      </w:rPr>
    </w:lvl>
    <w:lvl w:ilvl="1">
      <w:start w:val="4"/>
      <w:numFmt w:val="decimal"/>
      <w:lvlText w:val="%1.%2."/>
      <w:lvlJc w:val="left"/>
      <w:pPr>
        <w:ind w:left="502"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0257430"/>
    <w:multiLevelType w:val="multilevel"/>
    <w:tmpl w:val="1AAC9018"/>
    <w:lvl w:ilvl="0">
      <w:start w:val="9"/>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720" w:hanging="360"/>
      </w:pPr>
      <w:rPr>
        <w:rFonts w:cs="Times New Roman" w:hint="default"/>
        <w:b w:val="0"/>
        <w:sz w:val="16"/>
        <w:szCs w:val="16"/>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80"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B4B4495"/>
    <w:multiLevelType w:val="multilevel"/>
    <w:tmpl w:val="7828213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6"/>
  </w:num>
  <w:num w:numId="2">
    <w:abstractNumId w:val="31"/>
  </w:num>
  <w:num w:numId="3">
    <w:abstractNumId w:val="19"/>
  </w:num>
  <w:num w:numId="4">
    <w:abstractNumId w:val="16"/>
  </w:num>
  <w:num w:numId="5">
    <w:abstractNumId w:val="33"/>
  </w:num>
  <w:num w:numId="6">
    <w:abstractNumId w:val="32"/>
  </w:num>
  <w:num w:numId="7">
    <w:abstractNumId w:val="43"/>
  </w:num>
  <w:num w:numId="8">
    <w:abstractNumId w:val="28"/>
  </w:num>
  <w:num w:numId="9">
    <w:abstractNumId w:val="30"/>
  </w:num>
  <w:num w:numId="10">
    <w:abstractNumId w:val="1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38"/>
  </w:num>
  <w:num w:numId="14">
    <w:abstractNumId w:val="46"/>
  </w:num>
  <w:num w:numId="15">
    <w:abstractNumId w:val="9"/>
  </w:num>
  <w:num w:numId="16">
    <w:abstractNumId w:val="13"/>
  </w:num>
  <w:num w:numId="17">
    <w:abstractNumId w:val="12"/>
  </w:num>
  <w:num w:numId="18">
    <w:abstractNumId w:val="11"/>
  </w:num>
  <w:num w:numId="19">
    <w:abstractNumId w:val="40"/>
  </w:num>
  <w:num w:numId="20">
    <w:abstractNumId w:val="42"/>
  </w:num>
  <w:num w:numId="21">
    <w:abstractNumId w:val="21"/>
  </w:num>
  <w:num w:numId="22">
    <w:abstractNumId w:val="45"/>
  </w:num>
  <w:num w:numId="23">
    <w:abstractNumId w:val="39"/>
  </w:num>
  <w:num w:numId="24">
    <w:abstractNumId w:val="20"/>
  </w:num>
  <w:num w:numId="25">
    <w:abstractNumId w:val="47"/>
  </w:num>
  <w:num w:numId="26">
    <w:abstractNumId w:val="27"/>
  </w:num>
  <w:num w:numId="27">
    <w:abstractNumId w:val="24"/>
  </w:num>
  <w:num w:numId="28">
    <w:abstractNumId w:val="18"/>
  </w:num>
  <w:num w:numId="29">
    <w:abstractNumId w:val="22"/>
  </w:num>
  <w:num w:numId="30">
    <w:abstractNumId w:val="34"/>
  </w:num>
  <w:num w:numId="31">
    <w:abstractNumId w:val="14"/>
  </w:num>
  <w:num w:numId="32">
    <w:abstractNumId w:val="29"/>
  </w:num>
  <w:num w:numId="33">
    <w:abstractNumId w:val="37"/>
  </w:num>
  <w:num w:numId="34">
    <w:abstractNumId w:val="25"/>
  </w:num>
  <w:num w:numId="35">
    <w:abstractNumId w:val="41"/>
  </w:num>
  <w:num w:numId="36">
    <w:abstractNumId w:val="26"/>
  </w:num>
  <w:num w:numId="37">
    <w:abstractNumId w:val="10"/>
  </w:num>
  <w:num w:numId="38">
    <w:abstractNumId w:val="17"/>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3"/>
  </w:num>
  <w:num w:numId="43">
    <w:abstractNumId w:val="5"/>
  </w:num>
  <w:num w:numId="44">
    <w:abstractNumId w:val="6"/>
  </w:num>
  <w:num w:numId="45">
    <w:abstractNumId w:val="7"/>
  </w:num>
  <w:num w:numId="46">
    <w:abstractNumId w:val="8"/>
  </w:num>
  <w:num w:numId="47">
    <w:abstractNumId w:val="4"/>
  </w:num>
  <w:num w:numId="48">
    <w:abstractNumId w:val="48"/>
  </w:num>
  <w:num w:numId="49">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1EC"/>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57F3"/>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0D6D"/>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751"/>
    <w:rsid w:val="003B4B40"/>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A4227"/>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14F5"/>
    <w:rsid w:val="00524202"/>
    <w:rsid w:val="00526790"/>
    <w:rsid w:val="005269EC"/>
    <w:rsid w:val="00526D01"/>
    <w:rsid w:val="00531DA4"/>
    <w:rsid w:val="00534C71"/>
    <w:rsid w:val="005353C3"/>
    <w:rsid w:val="005374D4"/>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972D8"/>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9C0"/>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1D2A"/>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4FB1"/>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B5F45"/>
    <w:rsid w:val="00CC63C7"/>
    <w:rsid w:val="00CD1D80"/>
    <w:rsid w:val="00CD1F56"/>
    <w:rsid w:val="00CD3A2A"/>
    <w:rsid w:val="00CD4BCA"/>
    <w:rsid w:val="00CD6B03"/>
    <w:rsid w:val="00CE1032"/>
    <w:rsid w:val="00CE1D30"/>
    <w:rsid w:val="00CE623C"/>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456C"/>
    <w:rsid w:val="00F163E9"/>
    <w:rsid w:val="00F165A9"/>
    <w:rsid w:val="00F17DD3"/>
    <w:rsid w:val="00F23872"/>
    <w:rsid w:val="00F31CC9"/>
    <w:rsid w:val="00F3201D"/>
    <w:rsid w:val="00F347A2"/>
    <w:rsid w:val="00F4077F"/>
    <w:rsid w:val="00F4172E"/>
    <w:rsid w:val="00F42FC7"/>
    <w:rsid w:val="00F43C1B"/>
    <w:rsid w:val="00F44139"/>
    <w:rsid w:val="00F46492"/>
    <w:rsid w:val="00F5186D"/>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07A185-B3A1-4C09-BDBE-5E26C7FFF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733BFA-8FBB-4552-9751-12A250738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2862</Words>
  <Characters>15927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7</cp:revision>
  <cp:lastPrinted>2017-08-22T12:09:00Z</cp:lastPrinted>
  <dcterms:created xsi:type="dcterms:W3CDTF">2018-01-31T15:55:00Z</dcterms:created>
  <dcterms:modified xsi:type="dcterms:W3CDTF">2018-02-01T13:35:00Z</dcterms:modified>
</cp:coreProperties>
</file>